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99B09" w14:textId="77777777" w:rsidR="00F461CC"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705D6CD4" w14:textId="77777777" w:rsidR="00F461CC" w:rsidRDefault="00F461CC">
      <w:pPr>
        <w:spacing w:line="540" w:lineRule="exact"/>
        <w:jc w:val="center"/>
        <w:rPr>
          <w:rFonts w:ascii="华文中宋" w:eastAsia="华文中宋" w:hAnsi="华文中宋" w:cs="宋体" w:hint="eastAsia"/>
          <w:b/>
          <w:kern w:val="0"/>
          <w:sz w:val="52"/>
          <w:szCs w:val="52"/>
        </w:rPr>
      </w:pPr>
    </w:p>
    <w:p w14:paraId="4B24E292" w14:textId="77777777" w:rsidR="00F461CC" w:rsidRDefault="00F461CC">
      <w:pPr>
        <w:spacing w:line="540" w:lineRule="exact"/>
        <w:jc w:val="center"/>
        <w:rPr>
          <w:rFonts w:ascii="华文中宋" w:eastAsia="华文中宋" w:hAnsi="华文中宋" w:cs="宋体" w:hint="eastAsia"/>
          <w:b/>
          <w:kern w:val="0"/>
          <w:sz w:val="52"/>
          <w:szCs w:val="52"/>
        </w:rPr>
      </w:pPr>
    </w:p>
    <w:p w14:paraId="6114E80F" w14:textId="77777777" w:rsidR="00F461CC" w:rsidRDefault="00F461CC">
      <w:pPr>
        <w:spacing w:line="540" w:lineRule="exact"/>
        <w:jc w:val="center"/>
        <w:rPr>
          <w:rFonts w:ascii="华文中宋" w:eastAsia="华文中宋" w:hAnsi="华文中宋" w:cs="宋体" w:hint="eastAsia"/>
          <w:b/>
          <w:kern w:val="0"/>
          <w:sz w:val="52"/>
          <w:szCs w:val="52"/>
        </w:rPr>
      </w:pPr>
    </w:p>
    <w:p w14:paraId="7A176C4D" w14:textId="77777777" w:rsidR="00F461CC" w:rsidRDefault="00F461CC">
      <w:pPr>
        <w:spacing w:line="540" w:lineRule="exact"/>
        <w:jc w:val="center"/>
        <w:rPr>
          <w:rFonts w:ascii="华文中宋" w:eastAsia="华文中宋" w:hAnsi="华文中宋" w:cs="宋体" w:hint="eastAsia"/>
          <w:b/>
          <w:kern w:val="0"/>
          <w:sz w:val="52"/>
          <w:szCs w:val="52"/>
        </w:rPr>
      </w:pPr>
    </w:p>
    <w:p w14:paraId="6FA2B28B" w14:textId="77777777" w:rsidR="00F461CC" w:rsidRDefault="00F461CC">
      <w:pPr>
        <w:spacing w:line="540" w:lineRule="exact"/>
        <w:jc w:val="center"/>
        <w:rPr>
          <w:rFonts w:ascii="华文中宋" w:eastAsia="华文中宋" w:hAnsi="华文中宋" w:cs="宋体" w:hint="eastAsia"/>
          <w:b/>
          <w:kern w:val="0"/>
          <w:sz w:val="52"/>
          <w:szCs w:val="52"/>
        </w:rPr>
      </w:pPr>
    </w:p>
    <w:p w14:paraId="4FA85FFA" w14:textId="77777777" w:rsidR="00F461CC" w:rsidRDefault="00F461CC">
      <w:pPr>
        <w:spacing w:line="540" w:lineRule="exact"/>
        <w:jc w:val="center"/>
        <w:rPr>
          <w:rFonts w:ascii="华文中宋" w:eastAsia="华文中宋" w:hAnsi="华文中宋" w:cs="宋体" w:hint="eastAsia"/>
          <w:b/>
          <w:kern w:val="0"/>
          <w:sz w:val="52"/>
          <w:szCs w:val="52"/>
        </w:rPr>
      </w:pPr>
    </w:p>
    <w:p w14:paraId="0976DFCD" w14:textId="77777777" w:rsidR="00F461CC"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3074771E" w14:textId="77777777" w:rsidR="00F461CC" w:rsidRDefault="00F461CC">
      <w:pPr>
        <w:spacing w:line="540" w:lineRule="exact"/>
        <w:jc w:val="center"/>
        <w:rPr>
          <w:rFonts w:ascii="华文中宋" w:eastAsia="华文中宋" w:hAnsi="华文中宋" w:cs="宋体" w:hint="eastAsia"/>
          <w:b/>
          <w:kern w:val="0"/>
          <w:sz w:val="52"/>
          <w:szCs w:val="52"/>
        </w:rPr>
      </w:pPr>
    </w:p>
    <w:p w14:paraId="7F0A83D9" w14:textId="77777777" w:rsidR="00F461CC"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517126C0" w14:textId="77777777" w:rsidR="00F461CC" w:rsidRDefault="00F461CC">
      <w:pPr>
        <w:spacing w:line="540" w:lineRule="exact"/>
        <w:jc w:val="center"/>
        <w:rPr>
          <w:rFonts w:eastAsia="仿宋_GB2312" w:hAnsi="宋体" w:cs="宋体" w:hint="eastAsia"/>
          <w:kern w:val="0"/>
          <w:sz w:val="30"/>
          <w:szCs w:val="30"/>
        </w:rPr>
      </w:pPr>
    </w:p>
    <w:p w14:paraId="7CE86498" w14:textId="77777777" w:rsidR="00F461CC" w:rsidRDefault="00F461CC">
      <w:pPr>
        <w:spacing w:line="540" w:lineRule="exact"/>
        <w:jc w:val="center"/>
        <w:rPr>
          <w:rFonts w:eastAsia="仿宋_GB2312" w:hAnsi="宋体" w:cs="宋体" w:hint="eastAsia"/>
          <w:kern w:val="0"/>
          <w:sz w:val="30"/>
          <w:szCs w:val="30"/>
        </w:rPr>
      </w:pPr>
    </w:p>
    <w:p w14:paraId="7A681B0B" w14:textId="77777777" w:rsidR="00F461CC" w:rsidRDefault="00F461CC">
      <w:pPr>
        <w:spacing w:line="540" w:lineRule="exact"/>
        <w:jc w:val="center"/>
        <w:rPr>
          <w:rFonts w:eastAsia="仿宋_GB2312" w:hAnsi="宋体" w:cs="宋体" w:hint="eastAsia"/>
          <w:kern w:val="0"/>
          <w:sz w:val="30"/>
          <w:szCs w:val="30"/>
        </w:rPr>
      </w:pPr>
    </w:p>
    <w:p w14:paraId="06E270B5" w14:textId="77777777" w:rsidR="00F461CC" w:rsidRDefault="00F461CC">
      <w:pPr>
        <w:spacing w:line="540" w:lineRule="exact"/>
        <w:jc w:val="center"/>
        <w:rPr>
          <w:rFonts w:eastAsia="仿宋_GB2312" w:hAnsi="宋体" w:cs="宋体" w:hint="eastAsia"/>
          <w:kern w:val="0"/>
          <w:sz w:val="30"/>
          <w:szCs w:val="30"/>
        </w:rPr>
      </w:pPr>
    </w:p>
    <w:p w14:paraId="380A7F09" w14:textId="77777777" w:rsidR="00F461CC" w:rsidRDefault="00F461CC">
      <w:pPr>
        <w:spacing w:line="540" w:lineRule="exact"/>
        <w:jc w:val="center"/>
        <w:rPr>
          <w:rFonts w:eastAsia="仿宋_GB2312" w:hAnsi="宋体" w:cs="宋体" w:hint="eastAsia"/>
          <w:kern w:val="0"/>
          <w:sz w:val="30"/>
          <w:szCs w:val="30"/>
        </w:rPr>
      </w:pPr>
    </w:p>
    <w:p w14:paraId="05B8475A" w14:textId="77777777" w:rsidR="00F461CC" w:rsidRDefault="00F461CC">
      <w:pPr>
        <w:spacing w:line="540" w:lineRule="exact"/>
        <w:jc w:val="center"/>
        <w:rPr>
          <w:rFonts w:eastAsia="仿宋_GB2312" w:hAnsi="宋体" w:cs="宋体" w:hint="eastAsia"/>
          <w:kern w:val="0"/>
          <w:sz w:val="30"/>
          <w:szCs w:val="30"/>
        </w:rPr>
      </w:pPr>
    </w:p>
    <w:p w14:paraId="0995FB53" w14:textId="77777777" w:rsidR="00F461CC" w:rsidRDefault="00F461CC">
      <w:pPr>
        <w:spacing w:line="540" w:lineRule="exact"/>
        <w:rPr>
          <w:rFonts w:eastAsia="仿宋_GB2312" w:hAnsi="宋体" w:cs="宋体" w:hint="eastAsia"/>
          <w:kern w:val="0"/>
          <w:sz w:val="30"/>
          <w:szCs w:val="30"/>
        </w:rPr>
      </w:pPr>
    </w:p>
    <w:p w14:paraId="59D75865" w14:textId="77777777" w:rsidR="00F461CC"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5671234" w14:textId="77777777" w:rsidR="00F461CC"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牧民草场补偿费</w:t>
      </w:r>
    </w:p>
    <w:p w14:paraId="4E3223DD" w14:textId="18F32BC4" w:rsidR="00F461CC"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sidR="00761B74" w:rsidRPr="00761B74">
        <w:rPr>
          <w:rStyle w:val="ad"/>
          <w:rFonts w:ascii="楷体" w:eastAsia="楷体" w:hAnsi="楷体" w:hint="eastAsia"/>
          <w:spacing w:val="-4"/>
          <w:sz w:val="28"/>
          <w:szCs w:val="28"/>
        </w:rPr>
        <w:t>昌吉市林业和草原局</w:t>
      </w:r>
    </w:p>
    <w:p w14:paraId="7496C05B" w14:textId="1A267A4D" w:rsidR="00F461CC"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sidR="00761B74">
        <w:rPr>
          <w:rStyle w:val="ad"/>
          <w:rFonts w:ascii="楷体" w:eastAsia="楷体" w:hAnsi="楷体" w:hint="eastAsia"/>
          <w:spacing w:val="-4"/>
          <w:sz w:val="28"/>
          <w:szCs w:val="28"/>
        </w:rPr>
        <w:t>昌吉市林业和草原局</w:t>
      </w:r>
    </w:p>
    <w:p w14:paraId="565E528D" w14:textId="77777777" w:rsidR="00F461CC"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方向海</w:t>
      </w:r>
    </w:p>
    <w:p w14:paraId="7B91CFD9" w14:textId="77777777" w:rsidR="00F461CC"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2025年05月27日</w:t>
      </w:r>
    </w:p>
    <w:p w14:paraId="23DFB5DD" w14:textId="77777777" w:rsidR="00F461CC" w:rsidRDefault="00F461CC">
      <w:pPr>
        <w:spacing w:line="700" w:lineRule="exact"/>
        <w:ind w:firstLineChars="236" w:firstLine="708"/>
        <w:jc w:val="left"/>
        <w:rPr>
          <w:rFonts w:eastAsia="仿宋_GB2312" w:hAnsi="宋体" w:cs="宋体" w:hint="eastAsia"/>
          <w:kern w:val="0"/>
          <w:sz w:val="30"/>
          <w:szCs w:val="30"/>
        </w:rPr>
      </w:pPr>
    </w:p>
    <w:p w14:paraId="5850A6D7" w14:textId="77777777" w:rsidR="00F461CC" w:rsidRDefault="00F461CC">
      <w:pPr>
        <w:spacing w:line="540" w:lineRule="exact"/>
        <w:rPr>
          <w:rStyle w:val="ad"/>
          <w:rFonts w:ascii="黑体" w:eastAsia="黑体" w:hAnsi="黑体" w:hint="eastAsia"/>
          <w:b w:val="0"/>
          <w:spacing w:val="-4"/>
          <w:sz w:val="32"/>
          <w:szCs w:val="32"/>
        </w:rPr>
      </w:pPr>
    </w:p>
    <w:p w14:paraId="291D71DB" w14:textId="77777777" w:rsidR="00F461C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69A599AD" w14:textId="77777777" w:rsidR="00F461C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110567C1" w14:textId="02EE78B2"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（一）项目概况</w:t>
      </w:r>
      <w:r>
        <w:rPr>
          <w:rStyle w:val="ad"/>
          <w:rFonts w:ascii="楷体" w:eastAsia="楷体" w:hAnsi="楷体" w:hint="eastAsia"/>
          <w:b w:val="0"/>
          <w:bCs w:val="0"/>
          <w:spacing w:val="-4"/>
          <w:sz w:val="32"/>
          <w:szCs w:val="32"/>
        </w:rPr>
        <w:br/>
        <w:t>1.项目背景</w:t>
      </w:r>
      <w:r>
        <w:rPr>
          <w:rStyle w:val="ad"/>
          <w:rFonts w:ascii="楷体" w:eastAsia="楷体" w:hAnsi="楷体" w:hint="eastAsia"/>
          <w:b w:val="0"/>
          <w:bCs w:val="0"/>
          <w:spacing w:val="-4"/>
          <w:sz w:val="32"/>
          <w:szCs w:val="32"/>
        </w:rPr>
        <w:br/>
        <w:t>照新疆维吾尔自治区自然资源厅《关于公布自治区征收农用地区片综合低价标准的通知》（新自然资</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【2020】4号）、《昌吉市人民政府关于公布实施昌吉市征收农用地区片综合低价标准的通告》昌市政告（2020）5号等文件规定，新疆庭州汇捷新能源科技有限公司光</w:t>
      </w:r>
      <w:proofErr w:type="gramStart"/>
      <w:r>
        <w:rPr>
          <w:rStyle w:val="ad"/>
          <w:rFonts w:ascii="楷体" w:eastAsia="楷体" w:hAnsi="楷体" w:hint="eastAsia"/>
          <w:b w:val="0"/>
          <w:bCs w:val="0"/>
          <w:spacing w:val="-4"/>
          <w:sz w:val="32"/>
          <w:szCs w:val="32"/>
        </w:rPr>
        <w:t>伏项目</w:t>
      </w:r>
      <w:proofErr w:type="gramEnd"/>
      <w:r>
        <w:rPr>
          <w:rStyle w:val="ad"/>
          <w:rFonts w:ascii="楷体" w:eastAsia="楷体" w:hAnsi="楷体" w:hint="eastAsia"/>
          <w:b w:val="0"/>
          <w:bCs w:val="0"/>
          <w:spacing w:val="-4"/>
          <w:sz w:val="32"/>
          <w:szCs w:val="32"/>
        </w:rPr>
        <w:t>使用阿什里乡二道水村牧民草场11950亩（易事特</w:t>
      </w:r>
      <w:proofErr w:type="gramStart"/>
      <w:r>
        <w:rPr>
          <w:rStyle w:val="ad"/>
          <w:rFonts w:ascii="楷体" w:eastAsia="楷体" w:hAnsi="楷体" w:hint="eastAsia"/>
          <w:b w:val="0"/>
          <w:bCs w:val="0"/>
          <w:spacing w:val="-4"/>
          <w:sz w:val="32"/>
          <w:szCs w:val="32"/>
        </w:rPr>
        <w:t>30万千瓦光储体</w:t>
      </w:r>
      <w:proofErr w:type="gramEnd"/>
      <w:r>
        <w:rPr>
          <w:rStyle w:val="ad"/>
          <w:rFonts w:ascii="楷体" w:eastAsia="楷体" w:hAnsi="楷体" w:hint="eastAsia"/>
          <w:b w:val="0"/>
          <w:bCs w:val="0"/>
          <w:spacing w:val="-4"/>
          <w:sz w:val="32"/>
          <w:szCs w:val="32"/>
        </w:rPr>
        <w:t>化低碳园区转型新能源项目使用），为了尽快妥善安置阿什里乡二道水牧民，需要支付牧民草场补偿费对牧民进行安置，以推进项目顺利实施。</w:t>
      </w:r>
      <w:r>
        <w:rPr>
          <w:rStyle w:val="ad"/>
          <w:rFonts w:ascii="楷体" w:eastAsia="楷体" w:hAnsi="楷体" w:hint="eastAsia"/>
          <w:b w:val="0"/>
          <w:bCs w:val="0"/>
          <w:spacing w:val="-4"/>
          <w:sz w:val="32"/>
          <w:szCs w:val="32"/>
        </w:rPr>
        <w:br/>
        <w:t>2.主要内容</w:t>
      </w:r>
      <w:r>
        <w:rPr>
          <w:rStyle w:val="ad"/>
          <w:rFonts w:ascii="楷体" w:eastAsia="楷体" w:hAnsi="楷体" w:hint="eastAsia"/>
          <w:b w:val="0"/>
          <w:bCs w:val="0"/>
          <w:spacing w:val="-4"/>
          <w:sz w:val="32"/>
          <w:szCs w:val="32"/>
        </w:rPr>
        <w:br/>
        <w:t>（1）项目名称：牧民草场补偿费</w:t>
      </w:r>
      <w:r>
        <w:rPr>
          <w:rStyle w:val="ad"/>
          <w:rFonts w:ascii="楷体" w:eastAsia="楷体" w:hAnsi="楷体" w:hint="eastAsia"/>
          <w:b w:val="0"/>
          <w:bCs w:val="0"/>
          <w:spacing w:val="-4"/>
          <w:sz w:val="32"/>
          <w:szCs w:val="32"/>
        </w:rPr>
        <w:br/>
        <w:t>（2）项目主要内容：主要是昌吉市阿什里乡人民政府、阿什里乡二道水村村民委员会、昌吉市北部荒漠生态保护管理站三方签订了《草原承包经营权转让合同》，将征用二道水村11950亩草场的牧民进行安置补偿。</w:t>
      </w:r>
      <w:r>
        <w:rPr>
          <w:rStyle w:val="ad"/>
          <w:rFonts w:ascii="楷体" w:eastAsia="楷体" w:hAnsi="楷体" w:hint="eastAsia"/>
          <w:b w:val="0"/>
          <w:bCs w:val="0"/>
          <w:spacing w:val="-4"/>
          <w:sz w:val="32"/>
          <w:szCs w:val="32"/>
        </w:rPr>
        <w:br/>
        <w:t>3.实施情况</w:t>
      </w:r>
      <w:r>
        <w:rPr>
          <w:rStyle w:val="ad"/>
          <w:rFonts w:ascii="楷体" w:eastAsia="楷体" w:hAnsi="楷体" w:hint="eastAsia"/>
          <w:b w:val="0"/>
          <w:bCs w:val="0"/>
          <w:spacing w:val="-4"/>
          <w:sz w:val="32"/>
          <w:szCs w:val="32"/>
        </w:rPr>
        <w:br/>
        <w:t>实施主体：</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br/>
        <w:t>实施时间：本项目实施周期为2024年11月-2024年12月。</w:t>
      </w:r>
      <w:r>
        <w:rPr>
          <w:rStyle w:val="ad"/>
          <w:rFonts w:ascii="楷体" w:eastAsia="楷体" w:hAnsi="楷体" w:hint="eastAsia"/>
          <w:b w:val="0"/>
          <w:bCs w:val="0"/>
          <w:spacing w:val="-4"/>
          <w:sz w:val="32"/>
          <w:szCs w:val="32"/>
        </w:rPr>
        <w:br/>
        <w:t>实施情况：本项目</w:t>
      </w:r>
      <w:proofErr w:type="gramStart"/>
      <w:r>
        <w:rPr>
          <w:rStyle w:val="ad"/>
          <w:rFonts w:ascii="楷体" w:eastAsia="楷体" w:hAnsi="楷体" w:hint="eastAsia"/>
          <w:b w:val="0"/>
          <w:bCs w:val="0"/>
          <w:spacing w:val="-4"/>
          <w:sz w:val="32"/>
          <w:szCs w:val="32"/>
        </w:rPr>
        <w:t>前期我</w:t>
      </w:r>
      <w:proofErr w:type="gramEnd"/>
      <w:r>
        <w:rPr>
          <w:rStyle w:val="ad"/>
          <w:rFonts w:ascii="楷体" w:eastAsia="楷体" w:hAnsi="楷体" w:hint="eastAsia"/>
          <w:b w:val="0"/>
          <w:bCs w:val="0"/>
          <w:spacing w:val="-4"/>
          <w:sz w:val="32"/>
          <w:szCs w:val="32"/>
        </w:rPr>
        <w:t>单位与昌吉市阿什里乡人民政府、二道水村村民委员会三方签订</w:t>
      </w:r>
      <w:proofErr w:type="gramStart"/>
      <w:r>
        <w:rPr>
          <w:rStyle w:val="ad"/>
          <w:rFonts w:ascii="楷体" w:eastAsia="楷体" w:hAnsi="楷体" w:hint="eastAsia"/>
          <w:b w:val="0"/>
          <w:bCs w:val="0"/>
          <w:spacing w:val="-4"/>
          <w:sz w:val="32"/>
          <w:szCs w:val="32"/>
        </w:rPr>
        <w:t>了草</w:t>
      </w:r>
      <w:proofErr w:type="gramEnd"/>
      <w:r>
        <w:rPr>
          <w:rStyle w:val="ad"/>
          <w:rFonts w:ascii="楷体" w:eastAsia="楷体" w:hAnsi="楷体" w:hint="eastAsia"/>
          <w:b w:val="0"/>
          <w:bCs w:val="0"/>
          <w:spacing w:val="-4"/>
          <w:sz w:val="32"/>
          <w:szCs w:val="32"/>
        </w:rPr>
        <w:t>原承包经营权转让合同，对二道水村11户牧民的11950亩的草场进行安置补偿，转让形式：草场</w:t>
      </w:r>
      <w:r>
        <w:rPr>
          <w:rStyle w:val="ad"/>
          <w:rFonts w:ascii="楷体" w:eastAsia="楷体" w:hAnsi="楷体" w:hint="eastAsia"/>
          <w:b w:val="0"/>
          <w:bCs w:val="0"/>
          <w:spacing w:val="-4"/>
          <w:sz w:val="32"/>
          <w:szCs w:val="32"/>
        </w:rPr>
        <w:lastRenderedPageBreak/>
        <w:t>承包使用权转让。用途：生态修复（光伏治沙）.按照现行国家补偿标准新自然资</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2020】4号及昌吉市政告【2020】5号文件要求，转让价款为1890元/亩，资金由我单位拨付至昌吉市阿什里乡人民政府，具体由二道水村民委员会发放至牧民，牧民领取补偿费用后不再拥有草场承包经营权，合同签订后，昌吉市北部荒漠</w:t>
      </w:r>
      <w:proofErr w:type="gramStart"/>
      <w:r>
        <w:rPr>
          <w:rStyle w:val="ad"/>
          <w:rFonts w:ascii="楷体" w:eastAsia="楷体" w:hAnsi="楷体" w:hint="eastAsia"/>
          <w:b w:val="0"/>
          <w:bCs w:val="0"/>
          <w:spacing w:val="-4"/>
          <w:sz w:val="32"/>
          <w:szCs w:val="32"/>
        </w:rPr>
        <w:t>站拥有</w:t>
      </w:r>
      <w:proofErr w:type="gramEnd"/>
      <w:r>
        <w:rPr>
          <w:rStyle w:val="ad"/>
          <w:rFonts w:ascii="楷体" w:eastAsia="楷体" w:hAnsi="楷体" w:hint="eastAsia"/>
          <w:b w:val="0"/>
          <w:bCs w:val="0"/>
          <w:spacing w:val="-4"/>
          <w:sz w:val="32"/>
          <w:szCs w:val="32"/>
        </w:rPr>
        <w:t>草场承包经营权。一是牧民得到补偿后，收入直接增加，推动</w:t>
      </w:r>
      <w:proofErr w:type="gramStart"/>
      <w:r>
        <w:rPr>
          <w:rStyle w:val="ad"/>
          <w:rFonts w:ascii="楷体" w:eastAsia="楷体" w:hAnsi="楷体" w:hint="eastAsia"/>
          <w:b w:val="0"/>
          <w:bCs w:val="0"/>
          <w:spacing w:val="-4"/>
          <w:sz w:val="32"/>
          <w:szCs w:val="32"/>
        </w:rPr>
        <w:t>了草场保护</w:t>
      </w:r>
      <w:proofErr w:type="gramEnd"/>
      <w:r>
        <w:rPr>
          <w:rStyle w:val="ad"/>
          <w:rFonts w:ascii="楷体" w:eastAsia="楷体" w:hAnsi="楷体" w:hint="eastAsia"/>
          <w:b w:val="0"/>
          <w:bCs w:val="0"/>
          <w:spacing w:val="-4"/>
          <w:sz w:val="32"/>
          <w:szCs w:val="32"/>
        </w:rPr>
        <w:t>与建设，有利于草场生态的恢复和</w:t>
      </w:r>
      <w:proofErr w:type="gramStart"/>
      <w:r>
        <w:rPr>
          <w:rStyle w:val="ad"/>
          <w:rFonts w:ascii="楷体" w:eastAsia="楷体" w:hAnsi="楷体" w:hint="eastAsia"/>
          <w:b w:val="0"/>
          <w:bCs w:val="0"/>
          <w:spacing w:val="-4"/>
          <w:sz w:val="32"/>
          <w:szCs w:val="32"/>
        </w:rPr>
        <w:t>可</w:t>
      </w:r>
      <w:proofErr w:type="gramEnd"/>
      <w:r>
        <w:rPr>
          <w:rStyle w:val="ad"/>
          <w:rFonts w:ascii="楷体" w:eastAsia="楷体" w:hAnsi="楷体" w:hint="eastAsia"/>
          <w:b w:val="0"/>
          <w:bCs w:val="0"/>
          <w:spacing w:val="-4"/>
          <w:sz w:val="32"/>
          <w:szCs w:val="32"/>
        </w:rPr>
        <w:t>持续利用。同时促进了社会稳定，减少了矛盾纠纷。二是为顺利推进易事特</w:t>
      </w:r>
      <w:proofErr w:type="gramStart"/>
      <w:r>
        <w:rPr>
          <w:rStyle w:val="ad"/>
          <w:rFonts w:ascii="楷体" w:eastAsia="楷体" w:hAnsi="楷体" w:hint="eastAsia"/>
          <w:b w:val="0"/>
          <w:bCs w:val="0"/>
          <w:spacing w:val="-4"/>
          <w:sz w:val="32"/>
          <w:szCs w:val="32"/>
        </w:rPr>
        <w:t>30万千瓦光储体</w:t>
      </w:r>
      <w:proofErr w:type="gramEnd"/>
      <w:r>
        <w:rPr>
          <w:rStyle w:val="ad"/>
          <w:rFonts w:ascii="楷体" w:eastAsia="楷体" w:hAnsi="楷体" w:hint="eastAsia"/>
          <w:b w:val="0"/>
          <w:bCs w:val="0"/>
          <w:spacing w:val="-4"/>
          <w:sz w:val="32"/>
          <w:szCs w:val="32"/>
        </w:rPr>
        <w:t>化低碳园区转型能源项目打下坚实基础。</w:t>
      </w:r>
      <w:r>
        <w:rPr>
          <w:rStyle w:val="ad"/>
          <w:rFonts w:ascii="楷体" w:eastAsia="楷体" w:hAnsi="楷体" w:hint="eastAsia"/>
          <w:b w:val="0"/>
          <w:bCs w:val="0"/>
          <w:spacing w:val="-4"/>
          <w:sz w:val="32"/>
          <w:szCs w:val="32"/>
        </w:rPr>
        <w:br/>
        <w:t>4.项目实施主体</w:t>
      </w:r>
      <w:r>
        <w:rPr>
          <w:rStyle w:val="ad"/>
          <w:rFonts w:ascii="楷体" w:eastAsia="楷体" w:hAnsi="楷体" w:hint="eastAsia"/>
          <w:b w:val="0"/>
          <w:bCs w:val="0"/>
          <w:spacing w:val="-4"/>
          <w:sz w:val="32"/>
          <w:szCs w:val="32"/>
        </w:rPr>
        <w:br/>
        <w:t>（1）主要职能</w:t>
      </w:r>
      <w:r>
        <w:rPr>
          <w:rStyle w:val="ad"/>
          <w:rFonts w:ascii="楷体" w:eastAsia="楷体" w:hAnsi="楷体" w:hint="eastAsia"/>
          <w:b w:val="0"/>
          <w:bCs w:val="0"/>
          <w:spacing w:val="-4"/>
          <w:sz w:val="32"/>
          <w:szCs w:val="32"/>
        </w:rPr>
        <w:br/>
        <w:t>负责林业和草原及其生态保护修复的监督管理。拟订林业和草原及其生态保护修复的政策、规划、标准并组织实施。组织开展森林、草原、湿地、荒漠和陆生野生动植物资源动态监测与评价。</w:t>
      </w:r>
      <w:r>
        <w:rPr>
          <w:rStyle w:val="ad"/>
          <w:rFonts w:ascii="楷体" w:eastAsia="楷体" w:hAnsi="楷体" w:hint="eastAsia"/>
          <w:b w:val="0"/>
          <w:bCs w:val="0"/>
          <w:spacing w:val="-4"/>
          <w:sz w:val="32"/>
          <w:szCs w:val="32"/>
        </w:rPr>
        <w:br/>
        <w:t>组织林业和草原生态保护修复及造林绿化工作。组织实施林业和草原重点生态保护修复工程，指导公益林和商品林的培育，负责开展国土绿化和全民义务植树、监督城乡绿化工作。负责林业和草原有害生物防治、检疫工作。承担林业和草原应对气候变化相关工作。</w:t>
      </w:r>
      <w:r>
        <w:rPr>
          <w:rStyle w:val="ad"/>
          <w:rFonts w:ascii="楷体" w:eastAsia="楷体" w:hAnsi="楷体" w:hint="eastAsia"/>
          <w:b w:val="0"/>
          <w:bCs w:val="0"/>
          <w:spacing w:val="-4"/>
          <w:sz w:val="32"/>
          <w:szCs w:val="32"/>
        </w:rPr>
        <w:br/>
        <w:t>负责森林、草原、湿地资源监督管理。组织编制森林采伐限额。负责林地管理，拟订林地、草原保护利用规划并组织实施。负责森林草原资源调查以及权限内征占调查审批工作。负责国家级公益林管理工作。负责国有林场管理工作，指导监督国有林场的基本建设和发展工作。负责草原禁牧、草</w:t>
      </w:r>
      <w:proofErr w:type="gramStart"/>
      <w:r>
        <w:rPr>
          <w:rStyle w:val="ad"/>
          <w:rFonts w:ascii="楷体" w:eastAsia="楷体" w:hAnsi="楷体" w:hint="eastAsia"/>
          <w:b w:val="0"/>
          <w:bCs w:val="0"/>
          <w:spacing w:val="-4"/>
          <w:sz w:val="32"/>
          <w:szCs w:val="32"/>
        </w:rPr>
        <w:t>畜平衡</w:t>
      </w:r>
      <w:proofErr w:type="gramEnd"/>
      <w:r>
        <w:rPr>
          <w:rStyle w:val="ad"/>
          <w:rFonts w:ascii="楷体" w:eastAsia="楷体" w:hAnsi="楷体" w:hint="eastAsia"/>
          <w:b w:val="0"/>
          <w:bCs w:val="0"/>
          <w:spacing w:val="-4"/>
          <w:sz w:val="32"/>
          <w:szCs w:val="32"/>
        </w:rPr>
        <w:t>和草原生态修复治理工作，监督管理草原的开发利用。负责湿地生态保护修复工作，</w:t>
      </w:r>
      <w:r>
        <w:rPr>
          <w:rStyle w:val="ad"/>
          <w:rFonts w:ascii="楷体" w:eastAsia="楷体" w:hAnsi="楷体" w:hint="eastAsia"/>
          <w:b w:val="0"/>
          <w:bCs w:val="0"/>
          <w:spacing w:val="-4"/>
          <w:sz w:val="32"/>
          <w:szCs w:val="32"/>
        </w:rPr>
        <w:lastRenderedPageBreak/>
        <w:t>拟订湿地保护规划，监督管理湿地的开发利用。</w:t>
      </w:r>
      <w:r>
        <w:rPr>
          <w:rStyle w:val="ad"/>
          <w:rFonts w:ascii="楷体" w:eastAsia="楷体" w:hAnsi="楷体" w:hint="eastAsia"/>
          <w:b w:val="0"/>
          <w:bCs w:val="0"/>
          <w:spacing w:val="-4"/>
          <w:sz w:val="32"/>
          <w:szCs w:val="32"/>
        </w:rPr>
        <w:br/>
        <w:t>负责荒漠化防治工作监督管理。组织开展荒漠调查，拟订防沙治沙及沙化土地封禁保护区建设规划并监督实施，监督管理沙化土地的开发利用，组织沙尘暴灾害监测预报和应急处置。</w:t>
      </w:r>
      <w:r>
        <w:rPr>
          <w:rStyle w:val="ad"/>
          <w:rFonts w:ascii="楷体" w:eastAsia="楷体" w:hAnsi="楷体" w:hint="eastAsia"/>
          <w:b w:val="0"/>
          <w:bCs w:val="0"/>
          <w:spacing w:val="-4"/>
          <w:sz w:val="32"/>
          <w:szCs w:val="32"/>
        </w:rPr>
        <w:br/>
        <w:t>负责陆生野生动植物资源监督管理。组织开展陆生野生动植物资源调查，研究提出辖区内重点保护的野生动物、植物名录调整意见，监督管理陆生野生动植物救护、栖息地恢复发展及野生动物疫源疫病监测、防控、应急处置。监督管理权限内陆生野生动植物猎捕或采集、驯养繁殖或培植、经营利用。</w:t>
      </w:r>
      <w:r>
        <w:rPr>
          <w:rStyle w:val="ad"/>
          <w:rFonts w:ascii="楷体" w:eastAsia="楷体" w:hAnsi="楷体" w:hint="eastAsia"/>
          <w:b w:val="0"/>
          <w:bCs w:val="0"/>
          <w:spacing w:val="-4"/>
          <w:sz w:val="32"/>
          <w:szCs w:val="32"/>
        </w:rPr>
        <w:br/>
        <w:t>负责监督管理各类自然保护地。拟订各类自然保护地规划。负责国家公园、自然保护区、风景名胜区、地质公园、森林公园等设立、规划、建设和特许经营等工作。负责昌吉市直接行使所有权自然保护地的自然资源资产管理和国土空间用途管制。提出新建、调整各类自然保护地的审核建议并按程序报批，会同有关部门，组织世界自然遗产、世界自然与文化双重遗产的申报。负责生物多样性保护相关工作。</w:t>
      </w:r>
      <w:r>
        <w:rPr>
          <w:rStyle w:val="ad"/>
          <w:rFonts w:ascii="楷体" w:eastAsia="楷体" w:hAnsi="楷体" w:hint="eastAsia"/>
          <w:b w:val="0"/>
          <w:bCs w:val="0"/>
          <w:spacing w:val="-4"/>
          <w:sz w:val="32"/>
          <w:szCs w:val="32"/>
        </w:rPr>
        <w:br/>
        <w:t>负责推进林业和草原改革相关工作。拟订集体林权制度、国有林场、草原等重大改革意见并监督实施，拟订农村林业发展、维护林业经营者合法权益的政策措施,指导农村林地承包经营工作。负责开展退耕（牧）还林还草，以及天然林保护工作。</w:t>
      </w:r>
      <w:r>
        <w:rPr>
          <w:rStyle w:val="ad"/>
          <w:rFonts w:ascii="楷体" w:eastAsia="楷体" w:hAnsi="楷体" w:hint="eastAsia"/>
          <w:b w:val="0"/>
          <w:bCs w:val="0"/>
          <w:spacing w:val="-4"/>
          <w:sz w:val="32"/>
          <w:szCs w:val="32"/>
        </w:rPr>
        <w:br/>
        <w:t>拟订林业和草原资源优化配置及木材利用规划，拟订相关林业产业地方规划发展体系建设并监督实施，组织、指导林产品质量监督相关工作，指导生态扶贫相关工作。</w:t>
      </w:r>
      <w:r>
        <w:rPr>
          <w:rStyle w:val="ad"/>
          <w:rFonts w:ascii="楷体" w:eastAsia="楷体" w:hAnsi="楷体" w:hint="eastAsia"/>
          <w:b w:val="0"/>
          <w:bCs w:val="0"/>
          <w:spacing w:val="-4"/>
          <w:sz w:val="32"/>
          <w:szCs w:val="32"/>
        </w:rPr>
        <w:br/>
        <w:t>监督林草种质资源安全工作。负责良种选育推广，管理林木种苗、草种生产经营行为，监管林木种苗、草种质量。监督管理林业和</w:t>
      </w:r>
      <w:r>
        <w:rPr>
          <w:rStyle w:val="ad"/>
          <w:rFonts w:ascii="楷体" w:eastAsia="楷体" w:hAnsi="楷体" w:hint="eastAsia"/>
          <w:b w:val="0"/>
          <w:bCs w:val="0"/>
          <w:spacing w:val="-4"/>
          <w:sz w:val="32"/>
          <w:szCs w:val="32"/>
        </w:rPr>
        <w:lastRenderedPageBreak/>
        <w:t>草原生物种质资源、生物安全、植物新品种保护。</w:t>
      </w:r>
      <w:r>
        <w:rPr>
          <w:rStyle w:val="ad"/>
          <w:rFonts w:ascii="楷体" w:eastAsia="楷体" w:hAnsi="楷体" w:hint="eastAsia"/>
          <w:b w:val="0"/>
          <w:bCs w:val="0"/>
          <w:spacing w:val="-4"/>
          <w:sz w:val="32"/>
          <w:szCs w:val="32"/>
        </w:rPr>
        <w:br/>
        <w:t>负责落实综合防灾减灾规划相关要求，负责行业安全生产相关工作，组织编制森林和草原火灾防治规划并监督实施，组织开展林业和草原防火巡护、火源管理、防火设施建设、灾害普查等工作。组织国有林场林区和草原开展宣传教育、监测预警、督促检查等防火工作。</w:t>
      </w:r>
      <w:r>
        <w:rPr>
          <w:rStyle w:val="ad"/>
          <w:rFonts w:ascii="楷体" w:eastAsia="楷体" w:hAnsi="楷体" w:hint="eastAsia"/>
          <w:b w:val="0"/>
          <w:bCs w:val="0"/>
          <w:spacing w:val="-4"/>
          <w:sz w:val="32"/>
          <w:szCs w:val="32"/>
        </w:rPr>
        <w:br/>
        <w:t>监督管理林业和草原市级资金和国有资产，提出林业和草原预算内投资、昌吉市财政专项资金安排建议，按规定权限，审定昌吉市规划内和年度计划内投资项目。组织实施林业和草原生态补偿工作。</w:t>
      </w:r>
      <w:r>
        <w:rPr>
          <w:rStyle w:val="ad"/>
          <w:rFonts w:ascii="楷体" w:eastAsia="楷体" w:hAnsi="楷体" w:hint="eastAsia"/>
          <w:b w:val="0"/>
          <w:bCs w:val="0"/>
          <w:spacing w:val="-4"/>
          <w:sz w:val="32"/>
          <w:szCs w:val="32"/>
        </w:rPr>
        <w:br/>
        <w:t>依法调查处理林业和草原违法案件。</w:t>
      </w:r>
      <w:r>
        <w:rPr>
          <w:rStyle w:val="ad"/>
          <w:rFonts w:ascii="楷体" w:eastAsia="楷体" w:hAnsi="楷体" w:hint="eastAsia"/>
          <w:b w:val="0"/>
          <w:bCs w:val="0"/>
          <w:spacing w:val="-4"/>
          <w:sz w:val="32"/>
          <w:szCs w:val="32"/>
        </w:rPr>
        <w:br/>
        <w:t>负责林业和草原科技管理、教育培训、人才队伍建设，承担湿地、防治荒漠化等国际公约履约工作。</w:t>
      </w:r>
      <w:r>
        <w:rPr>
          <w:rStyle w:val="ad"/>
          <w:rFonts w:ascii="楷体" w:eastAsia="楷体" w:hAnsi="楷体" w:hint="eastAsia"/>
          <w:b w:val="0"/>
          <w:bCs w:val="0"/>
          <w:spacing w:val="-4"/>
          <w:sz w:val="32"/>
          <w:szCs w:val="32"/>
        </w:rPr>
        <w:br/>
        <w:t>完成党委、市人民政府交办的其他任务。</w:t>
      </w:r>
      <w:r>
        <w:rPr>
          <w:rStyle w:val="ad"/>
          <w:rFonts w:ascii="楷体" w:eastAsia="楷体" w:hAnsi="楷体" w:hint="eastAsia"/>
          <w:b w:val="0"/>
          <w:bCs w:val="0"/>
          <w:spacing w:val="-4"/>
          <w:sz w:val="32"/>
          <w:szCs w:val="32"/>
        </w:rPr>
        <w:br/>
        <w:t>（2）机构设置情况</w:t>
      </w:r>
      <w:r>
        <w:rPr>
          <w:rStyle w:val="ad"/>
          <w:rFonts w:ascii="楷体" w:eastAsia="楷体" w:hAnsi="楷体" w:hint="eastAsia"/>
          <w:b w:val="0"/>
          <w:bCs w:val="0"/>
          <w:spacing w:val="-4"/>
          <w:sz w:val="32"/>
          <w:szCs w:val="32"/>
        </w:rPr>
        <w:br/>
        <w:t>单位内设机构：内设3个科室，分别是：党政办公室、林业管理室（野生动植物保护管理室、自然保护地管理室）、草原管理室。</w:t>
      </w:r>
      <w:r>
        <w:rPr>
          <w:rStyle w:val="ad"/>
          <w:rFonts w:ascii="楷体" w:eastAsia="楷体" w:hAnsi="楷体" w:hint="eastAsia"/>
          <w:b w:val="0"/>
          <w:bCs w:val="0"/>
          <w:spacing w:val="-4"/>
          <w:sz w:val="32"/>
          <w:szCs w:val="32"/>
        </w:rPr>
        <w:br/>
        <w:t>5.资金投入和使用情况</w:t>
      </w:r>
      <w:r>
        <w:rPr>
          <w:rStyle w:val="ad"/>
          <w:rFonts w:ascii="楷体" w:eastAsia="楷体" w:hAnsi="楷体" w:hint="eastAsia"/>
          <w:b w:val="0"/>
          <w:bCs w:val="0"/>
          <w:spacing w:val="-4"/>
          <w:sz w:val="32"/>
          <w:szCs w:val="32"/>
        </w:rPr>
        <w:br/>
        <w:t>（1）项目资金安排落实、总投入等情况分析</w:t>
      </w:r>
      <w:r>
        <w:rPr>
          <w:rStyle w:val="ad"/>
          <w:rFonts w:ascii="楷体" w:eastAsia="楷体" w:hAnsi="楷体" w:hint="eastAsia"/>
          <w:b w:val="0"/>
          <w:bCs w:val="0"/>
          <w:spacing w:val="-4"/>
          <w:sz w:val="32"/>
          <w:szCs w:val="32"/>
        </w:rPr>
        <w:br/>
        <w:t>根据《关于拨付牧民草场补偿费的通知》（昌市财预〔2024〕994号）文件，本项目年初预算安排总额为2258.55万元，资金来源为本级部门预算，其中：财政资金2258.55万元，其他资金0万元。</w:t>
      </w:r>
      <w:r>
        <w:rPr>
          <w:rStyle w:val="ad"/>
          <w:rFonts w:ascii="楷体" w:eastAsia="楷体" w:hAnsi="楷体" w:hint="eastAsia"/>
          <w:b w:val="0"/>
          <w:bCs w:val="0"/>
          <w:spacing w:val="-4"/>
          <w:sz w:val="32"/>
          <w:szCs w:val="32"/>
        </w:rPr>
        <w:br/>
        <w:t>本项目全年预算安排总额为2258.55万元，预算调整数为0万元，追减0万元，预算调整率为0.00%，预算调整原因是：无预算调</w:t>
      </w:r>
      <w:r>
        <w:rPr>
          <w:rStyle w:val="ad"/>
          <w:rFonts w:ascii="楷体" w:eastAsia="楷体" w:hAnsi="楷体" w:hint="eastAsia"/>
          <w:b w:val="0"/>
          <w:bCs w:val="0"/>
          <w:spacing w:val="-4"/>
          <w:sz w:val="32"/>
          <w:szCs w:val="32"/>
        </w:rPr>
        <w:lastRenderedPageBreak/>
        <w:t>整数。2024年本项目实际收到预算资金2258.55万元，预算资金到位率为100.00%。</w:t>
      </w:r>
      <w:r>
        <w:rPr>
          <w:rStyle w:val="ad"/>
          <w:rFonts w:ascii="楷体" w:eastAsia="楷体" w:hAnsi="楷体" w:hint="eastAsia"/>
          <w:b w:val="0"/>
          <w:bCs w:val="0"/>
          <w:spacing w:val="-4"/>
          <w:sz w:val="32"/>
          <w:szCs w:val="32"/>
        </w:rPr>
        <w:br/>
        <w:t>（2）项目资金实际使用情况分析</w:t>
      </w:r>
      <w:r>
        <w:rPr>
          <w:rStyle w:val="ad"/>
          <w:rFonts w:ascii="楷体" w:eastAsia="楷体" w:hAnsi="楷体" w:hint="eastAsia"/>
          <w:b w:val="0"/>
          <w:bCs w:val="0"/>
          <w:spacing w:val="-4"/>
          <w:sz w:val="32"/>
          <w:szCs w:val="32"/>
        </w:rPr>
        <w:br/>
        <w:t>截至2024年12月31日，本项目实际支付资金2258.55万元，预算执行率100.00%。本项目资金主要用于支付阿什里乡二道水村11户牧民草场补偿费用2258.55万元,补偿草场面积为11950亩，补偿标准为1890元/亩。</w:t>
      </w:r>
    </w:p>
    <w:p w14:paraId="176A0BCA" w14:textId="77777777" w:rsidR="00F461C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A531275"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1.总体目标</w:t>
      </w:r>
      <w:r>
        <w:rPr>
          <w:rStyle w:val="ad"/>
          <w:rFonts w:ascii="楷体" w:eastAsia="楷体" w:hAnsi="楷体" w:hint="eastAsia"/>
          <w:b w:val="0"/>
          <w:bCs w:val="0"/>
          <w:spacing w:val="-4"/>
          <w:sz w:val="32"/>
          <w:szCs w:val="32"/>
        </w:rPr>
        <w:br/>
        <w:t>根据市财政项目安排，本年度安排资金2258.55万元用于新疆庭州汇捷新能源科技有限公司光</w:t>
      </w:r>
      <w:proofErr w:type="gramStart"/>
      <w:r>
        <w:rPr>
          <w:rStyle w:val="ad"/>
          <w:rFonts w:ascii="楷体" w:eastAsia="楷体" w:hAnsi="楷体" w:hint="eastAsia"/>
          <w:b w:val="0"/>
          <w:bCs w:val="0"/>
          <w:spacing w:val="-4"/>
          <w:sz w:val="32"/>
          <w:szCs w:val="32"/>
        </w:rPr>
        <w:t>伏项目</w:t>
      </w:r>
      <w:proofErr w:type="gramEnd"/>
      <w:r>
        <w:rPr>
          <w:rStyle w:val="ad"/>
          <w:rFonts w:ascii="楷体" w:eastAsia="楷体" w:hAnsi="楷体" w:hint="eastAsia"/>
          <w:b w:val="0"/>
          <w:bCs w:val="0"/>
          <w:spacing w:val="-4"/>
          <w:sz w:val="32"/>
          <w:szCs w:val="32"/>
        </w:rPr>
        <w:t>使用阿什里乡二道水村牧民使用的草场，共计11950亩（易事特</w:t>
      </w:r>
      <w:proofErr w:type="gramStart"/>
      <w:r>
        <w:rPr>
          <w:rStyle w:val="ad"/>
          <w:rFonts w:ascii="楷体" w:eastAsia="楷体" w:hAnsi="楷体" w:hint="eastAsia"/>
          <w:b w:val="0"/>
          <w:bCs w:val="0"/>
          <w:spacing w:val="-4"/>
          <w:sz w:val="32"/>
          <w:szCs w:val="32"/>
        </w:rPr>
        <w:t>30万千瓦光储体</w:t>
      </w:r>
      <w:proofErr w:type="gramEnd"/>
      <w:r>
        <w:rPr>
          <w:rStyle w:val="ad"/>
          <w:rFonts w:ascii="楷体" w:eastAsia="楷体" w:hAnsi="楷体" w:hint="eastAsia"/>
          <w:b w:val="0"/>
          <w:bCs w:val="0"/>
          <w:spacing w:val="-4"/>
          <w:sz w:val="32"/>
          <w:szCs w:val="32"/>
        </w:rPr>
        <w:t>化低碳园区转型新能源项目使用）。项目完成后，一是牧民得到补偿后，收入直接增加，推动</w:t>
      </w:r>
      <w:proofErr w:type="gramStart"/>
      <w:r>
        <w:rPr>
          <w:rStyle w:val="ad"/>
          <w:rFonts w:ascii="楷体" w:eastAsia="楷体" w:hAnsi="楷体" w:hint="eastAsia"/>
          <w:b w:val="0"/>
          <w:bCs w:val="0"/>
          <w:spacing w:val="-4"/>
          <w:sz w:val="32"/>
          <w:szCs w:val="32"/>
        </w:rPr>
        <w:t>了草场保护</w:t>
      </w:r>
      <w:proofErr w:type="gramEnd"/>
      <w:r>
        <w:rPr>
          <w:rStyle w:val="ad"/>
          <w:rFonts w:ascii="楷体" w:eastAsia="楷体" w:hAnsi="楷体" w:hint="eastAsia"/>
          <w:b w:val="0"/>
          <w:bCs w:val="0"/>
          <w:spacing w:val="-4"/>
          <w:sz w:val="32"/>
          <w:szCs w:val="32"/>
        </w:rPr>
        <w:t>与建设，有利于草场生态的恢复和</w:t>
      </w:r>
      <w:proofErr w:type="gramStart"/>
      <w:r>
        <w:rPr>
          <w:rStyle w:val="ad"/>
          <w:rFonts w:ascii="楷体" w:eastAsia="楷体" w:hAnsi="楷体" w:hint="eastAsia"/>
          <w:b w:val="0"/>
          <w:bCs w:val="0"/>
          <w:spacing w:val="-4"/>
          <w:sz w:val="32"/>
          <w:szCs w:val="32"/>
        </w:rPr>
        <w:t>可</w:t>
      </w:r>
      <w:proofErr w:type="gramEnd"/>
      <w:r>
        <w:rPr>
          <w:rStyle w:val="ad"/>
          <w:rFonts w:ascii="楷体" w:eastAsia="楷体" w:hAnsi="楷体" w:hint="eastAsia"/>
          <w:b w:val="0"/>
          <w:bCs w:val="0"/>
          <w:spacing w:val="-4"/>
          <w:sz w:val="32"/>
          <w:szCs w:val="32"/>
        </w:rPr>
        <w:t>持续利用。同时促进了社会稳定，减少了矛盾纠纷。二是为顺利推进易事特</w:t>
      </w:r>
      <w:proofErr w:type="gramStart"/>
      <w:r>
        <w:rPr>
          <w:rStyle w:val="ad"/>
          <w:rFonts w:ascii="楷体" w:eastAsia="楷体" w:hAnsi="楷体" w:hint="eastAsia"/>
          <w:b w:val="0"/>
          <w:bCs w:val="0"/>
          <w:spacing w:val="-4"/>
          <w:sz w:val="32"/>
          <w:szCs w:val="32"/>
        </w:rPr>
        <w:t>30万千瓦光储体</w:t>
      </w:r>
      <w:proofErr w:type="gramEnd"/>
      <w:r>
        <w:rPr>
          <w:rStyle w:val="ad"/>
          <w:rFonts w:ascii="楷体" w:eastAsia="楷体" w:hAnsi="楷体" w:hint="eastAsia"/>
          <w:b w:val="0"/>
          <w:bCs w:val="0"/>
          <w:spacing w:val="-4"/>
          <w:sz w:val="32"/>
          <w:szCs w:val="32"/>
        </w:rPr>
        <w:t>化低碳园区转型能源项目打下坚实基础。三是生态环境明显提升，牧民满意度达90%以上。</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w:t>
      </w:r>
      <w:r>
        <w:rPr>
          <w:rStyle w:val="ad"/>
          <w:rFonts w:ascii="楷体" w:eastAsia="楷体" w:hAnsi="楷体" w:hint="eastAsia"/>
          <w:b w:val="0"/>
          <w:bCs w:val="0"/>
          <w:spacing w:val="-4"/>
          <w:sz w:val="32"/>
          <w:szCs w:val="32"/>
        </w:rPr>
        <w:lastRenderedPageBreak/>
        <w:t>合我单位的规章制度以及项目实施和财务相关资料，评价小组对项目绩效指标进行了进一步的完善，完善后绩效指标如下：</w:t>
      </w:r>
      <w:r>
        <w:rPr>
          <w:rStyle w:val="ad"/>
          <w:rFonts w:ascii="楷体" w:eastAsia="楷体" w:hAnsi="楷体" w:hint="eastAsia"/>
          <w:b w:val="0"/>
          <w:bCs w:val="0"/>
          <w:spacing w:val="-4"/>
          <w:sz w:val="32"/>
          <w:szCs w:val="32"/>
        </w:rPr>
        <w:br/>
        <w:t>（1）项目产出指标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“占用草场亩数”指标，预期指标值为“=11950亩”；</w:t>
      </w:r>
      <w:r>
        <w:rPr>
          <w:rStyle w:val="ad"/>
          <w:rFonts w:ascii="楷体" w:eastAsia="楷体" w:hAnsi="楷体" w:hint="eastAsia"/>
          <w:b w:val="0"/>
          <w:bCs w:val="0"/>
          <w:spacing w:val="-4"/>
          <w:sz w:val="32"/>
          <w:szCs w:val="32"/>
        </w:rPr>
        <w:br/>
        <w:t>“涉及项目数量”指标，预期指标值为“=1个”；</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“草场补偿工作完成率”指标，预期指标值为“≥90%”；</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t>“项目当年完成率”指标，预期指标值为“=100%”；</w:t>
      </w:r>
      <w:r>
        <w:rPr>
          <w:rStyle w:val="ad"/>
          <w:rFonts w:ascii="楷体" w:eastAsia="楷体" w:hAnsi="楷体" w:hint="eastAsia"/>
          <w:b w:val="0"/>
          <w:bCs w:val="0"/>
          <w:spacing w:val="-4"/>
          <w:sz w:val="32"/>
          <w:szCs w:val="32"/>
        </w:rPr>
        <w:br/>
        <w:t>（2）项目成本指标</w:t>
      </w:r>
      <w:r>
        <w:rPr>
          <w:rStyle w:val="ad"/>
          <w:rFonts w:ascii="楷体" w:eastAsia="楷体" w:hAnsi="楷体" w:hint="eastAsia"/>
          <w:b w:val="0"/>
          <w:bCs w:val="0"/>
          <w:spacing w:val="-4"/>
          <w:sz w:val="32"/>
          <w:szCs w:val="32"/>
        </w:rPr>
        <w:br/>
        <w:t>①经济成本指标</w:t>
      </w:r>
      <w:r>
        <w:rPr>
          <w:rStyle w:val="ad"/>
          <w:rFonts w:ascii="楷体" w:eastAsia="楷体" w:hAnsi="楷体" w:hint="eastAsia"/>
          <w:b w:val="0"/>
          <w:bCs w:val="0"/>
          <w:spacing w:val="-4"/>
          <w:sz w:val="32"/>
          <w:szCs w:val="32"/>
        </w:rPr>
        <w:br/>
        <w:t>“草场补偿标准”指标，预期指标值为“=1890元/亩”；</w:t>
      </w:r>
      <w:r>
        <w:rPr>
          <w:rStyle w:val="ad"/>
          <w:rFonts w:ascii="楷体" w:eastAsia="楷体" w:hAnsi="楷体" w:hint="eastAsia"/>
          <w:b w:val="0"/>
          <w:bCs w:val="0"/>
          <w:spacing w:val="-4"/>
          <w:sz w:val="32"/>
          <w:szCs w:val="32"/>
        </w:rPr>
        <w:br/>
        <w:t>②社会成本指标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③生态环境成本指标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（3）项目效益指标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“生态可持续发展”指标，预期指标值为“明显”；</w:t>
      </w:r>
      <w:r>
        <w:rPr>
          <w:rStyle w:val="ad"/>
          <w:rFonts w:ascii="楷体" w:eastAsia="楷体" w:hAnsi="楷体" w:hint="eastAsia"/>
          <w:b w:val="0"/>
          <w:bCs w:val="0"/>
          <w:spacing w:val="-4"/>
          <w:sz w:val="32"/>
          <w:szCs w:val="32"/>
        </w:rPr>
        <w:br/>
        <w:t>（4）项目满意度指标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①满意度指标</w:t>
      </w:r>
      <w:r>
        <w:rPr>
          <w:rStyle w:val="ad"/>
          <w:rFonts w:ascii="楷体" w:eastAsia="楷体" w:hAnsi="楷体" w:hint="eastAsia"/>
          <w:b w:val="0"/>
          <w:bCs w:val="0"/>
          <w:spacing w:val="-4"/>
          <w:sz w:val="32"/>
          <w:szCs w:val="32"/>
        </w:rPr>
        <w:br/>
        <w:t>“牧民满意度”指标，预期指标值为“≥90%”。</w:t>
      </w:r>
    </w:p>
    <w:p w14:paraId="3FF7F6AF" w14:textId="77777777" w:rsidR="00F461C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26BF6BCC" w14:textId="77777777" w:rsidR="00F461CC"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8972AE2"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w:t>
      </w:r>
      <w:proofErr w:type="gramStart"/>
      <w:r>
        <w:rPr>
          <w:rStyle w:val="ad"/>
          <w:rFonts w:ascii="楷体" w:eastAsia="楷体" w:hAnsi="楷体" w:hint="eastAsia"/>
          <w:b w:val="0"/>
          <w:bCs w:val="0"/>
          <w:spacing w:val="-4"/>
          <w:sz w:val="32"/>
          <w:szCs w:val="32"/>
        </w:rPr>
        <w:t>》</w:t>
      </w:r>
      <w:proofErr w:type="gramEnd"/>
      <w:r>
        <w:rPr>
          <w:rStyle w:val="ad"/>
          <w:rFonts w:ascii="楷体" w:eastAsia="楷体" w:hAnsi="楷体" w:hint="eastAsia"/>
          <w:b w:val="0"/>
          <w:bCs w:val="0"/>
          <w:spacing w:val="-4"/>
          <w:sz w:val="32"/>
          <w:szCs w:val="32"/>
        </w:rPr>
        <w:t>（新财预〔2022〕42号）文件精神，我单位针对牧民草场补偿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ad"/>
          <w:rFonts w:ascii="楷体" w:eastAsia="楷体" w:hAnsi="楷体" w:hint="eastAsia"/>
          <w:b w:val="0"/>
          <w:bCs w:val="0"/>
          <w:spacing w:val="-4"/>
          <w:sz w:val="32"/>
          <w:szCs w:val="32"/>
        </w:rPr>
        <w:b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ad"/>
          <w:rFonts w:ascii="楷体" w:eastAsia="楷体" w:hAnsi="楷体" w:hint="eastAsia"/>
          <w:b w:val="0"/>
          <w:bCs w:val="0"/>
          <w:spacing w:val="-4"/>
          <w:sz w:val="32"/>
          <w:szCs w:val="32"/>
        </w:rPr>
        <w:br/>
        <w:t>二是通过部门项目支出绩效评价，进一步做实绩效目标，根据项目绩效目标设立情况，细化形成多维度绩效指标，将绩效指标细化为数量指标、质量指标、时效指标、经济成本指标、生态效益指标、服务对象满意度指标等内容，保证项目绩效指标设置科学、规范、合理、可衡量。</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ad"/>
          <w:rFonts w:ascii="楷体" w:eastAsia="楷体" w:hAnsi="楷体" w:hint="eastAsia"/>
          <w:b w:val="0"/>
          <w:bCs w:val="0"/>
          <w:spacing w:val="-4"/>
          <w:sz w:val="32"/>
          <w:szCs w:val="32"/>
        </w:rPr>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ad"/>
          <w:rFonts w:ascii="楷体" w:eastAsia="楷体" w:hAnsi="楷体" w:hint="eastAsia"/>
          <w:b w:val="0"/>
          <w:bCs w:val="0"/>
          <w:spacing w:val="-4"/>
          <w:sz w:val="32"/>
          <w:szCs w:val="32"/>
        </w:rPr>
        <w:br/>
        <w:t>2.绩效评价对象</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此次我</w:t>
      </w:r>
      <w:proofErr w:type="gramEnd"/>
      <w:r>
        <w:rPr>
          <w:rStyle w:val="ad"/>
          <w:rFonts w:ascii="楷体" w:eastAsia="楷体" w:hAnsi="楷体" w:hint="eastAsia"/>
          <w:b w:val="0"/>
          <w:bCs w:val="0"/>
          <w:spacing w:val="-4"/>
          <w:sz w:val="32"/>
          <w:szCs w:val="32"/>
        </w:rPr>
        <w:t>单位根据《财政支出绩效评价管理暂行办法》（财预〔2020〕10号）文件要求实施评价工作，本次评价对象为牧民草场补偿费项目，评价核心为项目资金、项目产出、项目效益。</w:t>
      </w:r>
      <w:r>
        <w:rPr>
          <w:rStyle w:val="ad"/>
          <w:rFonts w:ascii="楷体" w:eastAsia="楷体" w:hAnsi="楷体" w:hint="eastAsia"/>
          <w:b w:val="0"/>
          <w:bCs w:val="0"/>
          <w:spacing w:val="-4"/>
          <w:sz w:val="32"/>
          <w:szCs w:val="32"/>
        </w:rPr>
        <w:br/>
        <w:t>3.绩效评价范围</w:t>
      </w:r>
      <w:r>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A54D54C" w14:textId="77777777" w:rsidR="00F461C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2387C377"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依据《中华人民共和国预算法》《中共 中央国务院关于全面实施预算绩效管理的意见》（中发〔2018〕34号）、《项目支出绩效评价管理办法》（财预〔2020〕10号）、《自治区党委自治区人民政</w:t>
      </w:r>
      <w:r>
        <w:rPr>
          <w:rStyle w:val="ad"/>
          <w:rFonts w:ascii="楷体" w:eastAsia="楷体" w:hAnsi="楷体" w:hint="eastAsia"/>
          <w:b w:val="0"/>
          <w:bCs w:val="0"/>
          <w:spacing w:val="-4"/>
          <w:sz w:val="32"/>
          <w:szCs w:val="32"/>
        </w:rPr>
        <w:lastRenderedPageBreak/>
        <w:t>府关于全面实施预算绩效管理的实施意见》（新党发〔2018〕30号）、《自治区财政支出绩效评价管理暂行办法》（新财预〔2018〕189号）、《昌吉市实施预算绩效管理工作考核暂行办法》（昌市财发〔2019〕124号、《关于印发&lt;自治区项目支出绩效目标设置指引&gt;的通知》（新财预〔2022〕42号）等要求，绩效评价应遵循如下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（1）科学公正。绩效评价应当运用科学合理的方法，按照规范的程序，对项目绩效进行客观、公正地反映。</w:t>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根据以上原则，绩效评价应遵循如下要求：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2.绩效评价指标体系</w:t>
      </w:r>
      <w:r>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ad"/>
          <w:rFonts w:ascii="楷体" w:eastAsia="楷体" w:hAnsi="楷体" w:hint="eastAsia"/>
          <w:b w:val="0"/>
          <w:bCs w:val="0"/>
          <w:spacing w:val="-4"/>
          <w:sz w:val="32"/>
          <w:szCs w:val="32"/>
        </w:rPr>
        <w:br/>
        <w:t>三级指标分析环节：总体采用比较法，同时辅以文献法、成本效益法、因素分析法以及公众评判法，根据不同三级指标类型进行逐项分析。</w:t>
      </w:r>
      <w:r>
        <w:rPr>
          <w:rStyle w:val="ad"/>
          <w:rFonts w:ascii="楷体" w:eastAsia="楷体" w:hAnsi="楷体" w:hint="eastAsia"/>
          <w:b w:val="0"/>
          <w:bCs w:val="0"/>
          <w:spacing w:val="-4"/>
          <w:sz w:val="32"/>
          <w:szCs w:val="32"/>
        </w:rPr>
        <w:br/>
        <w:t>①定量指标分析环节：主要采用对比三级指标预期指标值和三级指标截止</w:t>
      </w:r>
      <w:proofErr w:type="gramStart"/>
      <w:r>
        <w:rPr>
          <w:rStyle w:val="ad"/>
          <w:rFonts w:ascii="楷体" w:eastAsia="楷体" w:hAnsi="楷体" w:hint="eastAsia"/>
          <w:b w:val="0"/>
          <w:bCs w:val="0"/>
          <w:spacing w:val="-4"/>
          <w:sz w:val="32"/>
          <w:szCs w:val="32"/>
        </w:rPr>
        <w:t>评价日</w:t>
      </w:r>
      <w:proofErr w:type="gramEnd"/>
      <w:r>
        <w:rPr>
          <w:rStyle w:val="ad"/>
          <w:rFonts w:ascii="楷体" w:eastAsia="楷体" w:hAnsi="楷体" w:hint="eastAsia"/>
          <w:b w:val="0"/>
          <w:bCs w:val="0"/>
          <w:spacing w:val="-4"/>
          <w:sz w:val="32"/>
          <w:szCs w:val="32"/>
        </w:rPr>
        <w:t>的完成情况，综合分析绩效目标实现程度。将实际完成值与年初指标值相比，完成指标值的，</w:t>
      </w:r>
      <w:proofErr w:type="gramStart"/>
      <w:r>
        <w:rPr>
          <w:rStyle w:val="ad"/>
          <w:rFonts w:ascii="楷体" w:eastAsia="楷体" w:hAnsi="楷体" w:hint="eastAsia"/>
          <w:b w:val="0"/>
          <w:bCs w:val="0"/>
          <w:spacing w:val="-4"/>
          <w:sz w:val="32"/>
          <w:szCs w:val="32"/>
        </w:rPr>
        <w:t>记该指标</w:t>
      </w:r>
      <w:proofErr w:type="gramEnd"/>
      <w:r>
        <w:rPr>
          <w:rStyle w:val="ad"/>
          <w:rFonts w:ascii="楷体" w:eastAsia="楷体" w:hAnsi="楷体" w:hint="eastAsia"/>
          <w:b w:val="0"/>
          <w:bCs w:val="0"/>
          <w:spacing w:val="-4"/>
          <w:sz w:val="32"/>
          <w:szCs w:val="32"/>
        </w:rPr>
        <w:t>所赋全部</w:t>
      </w:r>
      <w:r>
        <w:rPr>
          <w:rStyle w:val="ad"/>
          <w:rFonts w:ascii="楷体" w:eastAsia="楷体" w:hAnsi="楷体" w:hint="eastAsia"/>
          <w:b w:val="0"/>
          <w:bCs w:val="0"/>
          <w:spacing w:val="-4"/>
          <w:sz w:val="32"/>
          <w:szCs w:val="32"/>
        </w:rPr>
        <w:lastRenderedPageBreak/>
        <w:t>分值；对完成值高于指标值较多的，要分析原因，如果是由于年初指标值设定明显偏低造成的，要按照偏离度适度调减分值；未完成指标值的，按照完成值与指标值的比例记分。</w:t>
      </w:r>
      <w:r>
        <w:rPr>
          <w:rStyle w:val="ad"/>
          <w:rFonts w:ascii="楷体" w:eastAsia="楷体" w:hAnsi="楷体" w:hint="eastAsia"/>
          <w:b w:val="0"/>
          <w:bCs w:val="0"/>
          <w:spacing w:val="-4"/>
          <w:sz w:val="32"/>
          <w:szCs w:val="32"/>
        </w:rPr>
        <w:b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ad"/>
          <w:rFonts w:ascii="楷体" w:eastAsia="楷体" w:hAnsi="楷体" w:hint="eastAsia"/>
          <w:b w:val="0"/>
          <w:bCs w:val="0"/>
          <w:spacing w:val="-4"/>
          <w:sz w:val="32"/>
          <w:szCs w:val="32"/>
        </w:rPr>
        <w:br/>
        <w:t>立项依据充分性：比较法、文献法，查找法律法规政策以及规划，对比实际执行内容和政策支持内容是否匹配。</w:t>
      </w:r>
      <w:r>
        <w:rPr>
          <w:rStyle w:val="ad"/>
          <w:rFonts w:ascii="楷体" w:eastAsia="楷体" w:hAnsi="楷体" w:hint="eastAsia"/>
          <w:b w:val="0"/>
          <w:bCs w:val="0"/>
          <w:spacing w:val="-4"/>
          <w:sz w:val="32"/>
          <w:szCs w:val="32"/>
        </w:rPr>
        <w:br/>
        <w:t>立项程序规范性：比较法、文献法，查找相关项目设立的政策和文件要求，对比分析实际执行程序是否按照政策及文件要求执行，分析立项程序的规范性。</w:t>
      </w:r>
      <w:r>
        <w:rPr>
          <w:rStyle w:val="ad"/>
          <w:rFonts w:ascii="楷体" w:eastAsia="楷体" w:hAnsi="楷体" w:hint="eastAsia"/>
          <w:b w:val="0"/>
          <w:bCs w:val="0"/>
          <w:spacing w:val="-4"/>
          <w:sz w:val="32"/>
          <w:szCs w:val="32"/>
        </w:rPr>
        <w:br/>
        <w:t>绩效目标合理性：比较法，对比分析年初编制项目支出绩效目标表与项目内容的相关性、资金的匹配性等。</w:t>
      </w:r>
      <w:r>
        <w:rPr>
          <w:rStyle w:val="ad"/>
          <w:rFonts w:ascii="楷体" w:eastAsia="楷体" w:hAnsi="楷体" w:hint="eastAsia"/>
          <w:b w:val="0"/>
          <w:bCs w:val="0"/>
          <w:spacing w:val="-4"/>
          <w:sz w:val="32"/>
          <w:szCs w:val="32"/>
        </w:rPr>
        <w:br/>
        <w:t>绩效指标明确性：比较法，比较分析年初编制项目支出绩效目标表是否</w:t>
      </w:r>
      <w:proofErr w:type="gramStart"/>
      <w:r>
        <w:rPr>
          <w:rStyle w:val="ad"/>
          <w:rFonts w:ascii="楷体" w:eastAsia="楷体" w:hAnsi="楷体" w:hint="eastAsia"/>
          <w:b w:val="0"/>
          <w:bCs w:val="0"/>
          <w:spacing w:val="-4"/>
          <w:sz w:val="32"/>
          <w:szCs w:val="32"/>
        </w:rPr>
        <w:t>符合双七原则</w:t>
      </w:r>
      <w:proofErr w:type="gramEnd"/>
      <w:r>
        <w:rPr>
          <w:rStyle w:val="ad"/>
          <w:rFonts w:ascii="楷体" w:eastAsia="楷体" w:hAnsi="楷体" w:hint="eastAsia"/>
          <w:b w:val="0"/>
          <w:bCs w:val="0"/>
          <w:spacing w:val="-4"/>
          <w:sz w:val="32"/>
          <w:szCs w:val="32"/>
        </w:rPr>
        <w:t>，是否可衡量。</w:t>
      </w:r>
      <w:r>
        <w:rPr>
          <w:rStyle w:val="ad"/>
          <w:rFonts w:ascii="楷体" w:eastAsia="楷体" w:hAnsi="楷体" w:hint="eastAsia"/>
          <w:b w:val="0"/>
          <w:bCs w:val="0"/>
          <w:spacing w:val="-4"/>
          <w:sz w:val="32"/>
          <w:szCs w:val="32"/>
        </w:rPr>
        <w:br/>
        <w:t>预算编制科学性：成本效益分析法，分析在产出一定的情况下，成本取值是否有依据，是否经过询价，是否按照市场最低成本编制。</w:t>
      </w:r>
      <w:r>
        <w:rPr>
          <w:rStyle w:val="ad"/>
          <w:rFonts w:ascii="楷体" w:eastAsia="楷体" w:hAnsi="楷体" w:hint="eastAsia"/>
          <w:b w:val="0"/>
          <w:bCs w:val="0"/>
          <w:spacing w:val="-4"/>
          <w:sz w:val="32"/>
          <w:szCs w:val="32"/>
        </w:rPr>
        <w:br/>
        <w:t>资金分配合理性：因素分析法，综合分析资金的分配依据是否充分，分配金额是否与项目实施单位需求金额一致，</w:t>
      </w:r>
      <w:r>
        <w:rPr>
          <w:rStyle w:val="ad"/>
          <w:rFonts w:ascii="楷体" w:eastAsia="楷体" w:hAnsi="楷体" w:hint="eastAsia"/>
          <w:b w:val="0"/>
          <w:bCs w:val="0"/>
          <w:spacing w:val="-4"/>
          <w:sz w:val="32"/>
          <w:szCs w:val="32"/>
        </w:rPr>
        <w:br/>
        <w:t>资金到位率：比较法，资金到位率预期指标值应为100.00%，通</w:t>
      </w:r>
      <w:r>
        <w:rPr>
          <w:rStyle w:val="ad"/>
          <w:rFonts w:ascii="楷体" w:eastAsia="楷体" w:hAnsi="楷体" w:hint="eastAsia"/>
          <w:b w:val="0"/>
          <w:bCs w:val="0"/>
          <w:spacing w:val="-4"/>
          <w:sz w:val="32"/>
          <w:szCs w:val="32"/>
        </w:rPr>
        <w:lastRenderedPageBreak/>
        <w:t>过实际计算，分析实际完成值和预期指标值之间的差距和原因。</w:t>
      </w:r>
      <w:r>
        <w:rPr>
          <w:rStyle w:val="ad"/>
          <w:rFonts w:ascii="楷体" w:eastAsia="楷体" w:hAnsi="楷体" w:hint="eastAsia"/>
          <w:b w:val="0"/>
          <w:bCs w:val="0"/>
          <w:spacing w:val="-4"/>
          <w:sz w:val="32"/>
          <w:szCs w:val="32"/>
        </w:rPr>
        <w:br/>
        <w:t>预算执行率：比较法，预算执行率预期指标值应为100.00%，通过实际计算，分析实际完成值和预期指标值之间的差距和原因。</w:t>
      </w:r>
      <w:r>
        <w:rPr>
          <w:rStyle w:val="ad"/>
          <w:rFonts w:ascii="楷体" w:eastAsia="楷体" w:hAnsi="楷体" w:hint="eastAsia"/>
          <w:b w:val="0"/>
          <w:bCs w:val="0"/>
          <w:spacing w:val="-4"/>
          <w:sz w:val="32"/>
          <w:szCs w:val="32"/>
        </w:rPr>
        <w:br/>
        <w:t>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性：文献法、实地勘察法，一是查找资金管理办法，包括专项资金管理办法和单位自有资金管理办法；二是通过查账了解具体开支情况，是否专款专用，是否按照标准支出。</w:t>
      </w:r>
      <w:r>
        <w:rPr>
          <w:rStyle w:val="ad"/>
          <w:rFonts w:ascii="楷体" w:eastAsia="楷体" w:hAnsi="楷体" w:hint="eastAsia"/>
          <w:b w:val="0"/>
          <w:bCs w:val="0"/>
          <w:spacing w:val="-4"/>
          <w:sz w:val="32"/>
          <w:szCs w:val="32"/>
        </w:rPr>
        <w:br/>
        <w:t>管理制度健全性：文献法、比较法，查阅项目实施人员提供的财务和业务管理制度，将已建立的制度与现行的法律法规和政策要求进行对比，分析项目制度的合法性、合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性、完整性。</w:t>
      </w:r>
      <w:r>
        <w:rPr>
          <w:rStyle w:val="ad"/>
          <w:rFonts w:ascii="楷体" w:eastAsia="楷体" w:hAnsi="楷体" w:hint="eastAsia"/>
          <w:b w:val="0"/>
          <w:bCs w:val="0"/>
          <w:spacing w:val="-4"/>
          <w:sz w:val="32"/>
          <w:szCs w:val="32"/>
        </w:rPr>
        <w:br/>
        <w:t>制度执行有效性：比较法，结合项目实际实施过程性文件，根据已建设的财务管理制度和项目管理制度综合分析制度执行的有效性。</w:t>
      </w:r>
      <w:r>
        <w:rPr>
          <w:rStyle w:val="ad"/>
          <w:rFonts w:ascii="楷体" w:eastAsia="楷体" w:hAnsi="楷体" w:hint="eastAsia"/>
          <w:b w:val="0"/>
          <w:bCs w:val="0"/>
          <w:spacing w:val="-4"/>
          <w:sz w:val="32"/>
          <w:szCs w:val="32"/>
        </w:rPr>
        <w:br/>
        <w:t>定量指标：比较法，将实际完成值与年初指标值相比，完成指标值的，</w:t>
      </w:r>
      <w:proofErr w:type="gramStart"/>
      <w:r>
        <w:rPr>
          <w:rStyle w:val="ad"/>
          <w:rFonts w:ascii="楷体" w:eastAsia="楷体" w:hAnsi="楷体" w:hint="eastAsia"/>
          <w:b w:val="0"/>
          <w:bCs w:val="0"/>
          <w:spacing w:val="-4"/>
          <w:sz w:val="32"/>
          <w:szCs w:val="32"/>
        </w:rPr>
        <w:t>记该指标</w:t>
      </w:r>
      <w:proofErr w:type="gramEnd"/>
      <w:r>
        <w:rPr>
          <w:rStyle w:val="ad"/>
          <w:rFonts w:ascii="楷体" w:eastAsia="楷体" w:hAnsi="楷体" w:hint="eastAsia"/>
          <w:b w:val="0"/>
          <w:bCs w:val="0"/>
          <w:spacing w:val="-4"/>
          <w:sz w:val="32"/>
          <w:szCs w:val="32"/>
        </w:rPr>
        <w:t>所赋全部分值；对完成值高于指标值较多的，要分析原因，如果是由于年初指标值设定明显偏低造成的，要按照偏离度适度调减分值；未完成指标值的，按照完成值与指标值的比例记分。</w:t>
      </w:r>
      <w:r>
        <w:rPr>
          <w:rStyle w:val="ad"/>
          <w:rFonts w:ascii="楷体" w:eastAsia="楷体" w:hAnsi="楷体" w:hint="eastAsia"/>
          <w:b w:val="0"/>
          <w:bCs w:val="0"/>
          <w:spacing w:val="-4"/>
          <w:sz w:val="32"/>
          <w:szCs w:val="32"/>
        </w:rPr>
        <w:br/>
        <w:t>定性指标：公众评判法，通过问卷及抽样调查等方式评价本项目实施后社会公众对于其实施效果的满意程度。</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绩效评价标准通常包括计划标准、行业标准、历史标准等，用于对绩效指标完成情况进行比较、分析、评价。具体绩效评价标准解释如下：</w:t>
      </w:r>
      <w:r>
        <w:rPr>
          <w:rStyle w:val="ad"/>
          <w:rFonts w:ascii="楷体" w:eastAsia="楷体" w:hAnsi="楷体" w:hint="eastAsia"/>
          <w:b w:val="0"/>
          <w:bCs w:val="0"/>
          <w:spacing w:val="-4"/>
          <w:sz w:val="32"/>
          <w:szCs w:val="32"/>
        </w:rPr>
        <w:br/>
        <w:t>计划标准：指以预先制定的目标、计划、预算、定额等作为评价标准。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行业标准：指参照国家公布的行业指标数据制定的评价标准。</w:t>
      </w:r>
      <w:r>
        <w:rPr>
          <w:rStyle w:val="ad"/>
          <w:rFonts w:ascii="楷体" w:eastAsia="楷体" w:hAnsi="楷体" w:hint="eastAsia"/>
          <w:b w:val="0"/>
          <w:bCs w:val="0"/>
          <w:spacing w:val="-4"/>
          <w:sz w:val="32"/>
          <w:szCs w:val="32"/>
        </w:rPr>
        <w:br/>
        <w:t>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A6273A4" w14:textId="77777777" w:rsidR="00F461CC"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1DFB1207"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1.前期准备</w:t>
      </w:r>
      <w:r>
        <w:rPr>
          <w:rStyle w:val="ad"/>
          <w:rFonts w:ascii="楷体" w:eastAsia="楷体" w:hAnsi="楷体" w:hint="eastAsia"/>
          <w:b w:val="0"/>
          <w:bCs w:val="0"/>
          <w:spacing w:val="-4"/>
          <w:sz w:val="32"/>
          <w:szCs w:val="32"/>
        </w:rPr>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ad"/>
          <w:rFonts w:ascii="楷体" w:eastAsia="楷体" w:hAnsi="楷体" w:hint="eastAsia"/>
          <w:b w:val="0"/>
          <w:bCs w:val="0"/>
          <w:spacing w:val="-4"/>
          <w:sz w:val="32"/>
          <w:szCs w:val="32"/>
        </w:rPr>
        <w:br/>
        <w:t>木合塔尔·塔依尔（评价小组组长）：主要负责项目策划和监督，全面负责项目绩效评价报告的最终质量，对评价人员出具的最终报告质量进行复核，确保评估结果的客观性；</w:t>
      </w:r>
      <w:r>
        <w:rPr>
          <w:rStyle w:val="ad"/>
          <w:rFonts w:ascii="楷体" w:eastAsia="楷体" w:hAnsi="楷体" w:hint="eastAsia"/>
          <w:b w:val="0"/>
          <w:bCs w:val="0"/>
          <w:spacing w:val="-4"/>
          <w:sz w:val="32"/>
          <w:szCs w:val="32"/>
        </w:rPr>
        <w:br/>
        <w:t>沙依拉（评价小组组员）：主要负责资料的收集，取证、数据统计分析；</w:t>
      </w:r>
      <w:r>
        <w:rPr>
          <w:rStyle w:val="ad"/>
          <w:rFonts w:ascii="楷体" w:eastAsia="楷体" w:hAnsi="楷体" w:hint="eastAsia"/>
          <w:b w:val="0"/>
          <w:bCs w:val="0"/>
          <w:spacing w:val="-4"/>
          <w:sz w:val="32"/>
          <w:szCs w:val="32"/>
        </w:rPr>
        <w:br/>
        <w:t>吕建杙（评价小组组员）：主要负责项目报告的制定，指标的</w:t>
      </w:r>
      <w:proofErr w:type="gramStart"/>
      <w:r>
        <w:rPr>
          <w:rStyle w:val="ad"/>
          <w:rFonts w:ascii="楷体" w:eastAsia="楷体" w:hAnsi="楷体" w:hint="eastAsia"/>
          <w:b w:val="0"/>
          <w:bCs w:val="0"/>
          <w:spacing w:val="-4"/>
          <w:sz w:val="32"/>
          <w:szCs w:val="32"/>
        </w:rPr>
        <w:t>研</w:t>
      </w:r>
      <w:proofErr w:type="gramEnd"/>
      <w:r>
        <w:rPr>
          <w:rStyle w:val="ad"/>
          <w:rFonts w:ascii="楷体" w:eastAsia="楷体" w:hAnsi="楷体" w:hint="eastAsia"/>
          <w:b w:val="0"/>
          <w:bCs w:val="0"/>
          <w:spacing w:val="-4"/>
          <w:sz w:val="32"/>
          <w:szCs w:val="32"/>
        </w:rPr>
        <w:t>判，数据分析及报告撰写。</w:t>
      </w:r>
      <w:r>
        <w:rPr>
          <w:rStyle w:val="ad"/>
          <w:rFonts w:ascii="楷体" w:eastAsia="楷体" w:hAnsi="楷体" w:hint="eastAsia"/>
          <w:b w:val="0"/>
          <w:bCs w:val="0"/>
          <w:spacing w:val="-4"/>
          <w:sz w:val="32"/>
          <w:szCs w:val="32"/>
        </w:rPr>
        <w:br/>
        <w:t>2.组织实施</w:t>
      </w:r>
      <w:r>
        <w:rPr>
          <w:rStyle w:val="ad"/>
          <w:rFonts w:ascii="楷体" w:eastAsia="楷体" w:hAnsi="楷体" w:hint="eastAsia"/>
          <w:b w:val="0"/>
          <w:bCs w:val="0"/>
          <w:spacing w:val="-4"/>
          <w:sz w:val="32"/>
          <w:szCs w:val="32"/>
        </w:rPr>
        <w:br/>
        <w:t>2025年3月11日-3月14日，评价工作进入实施阶段。在数据采集方面，评价小组整理单位前期提交的资料，与项目实施负责</w:t>
      </w:r>
      <w:r>
        <w:rPr>
          <w:rStyle w:val="ad"/>
          <w:rFonts w:ascii="楷体" w:eastAsia="楷体" w:hAnsi="楷体" w:hint="eastAsia"/>
          <w:b w:val="0"/>
          <w:bCs w:val="0"/>
          <w:spacing w:val="-4"/>
          <w:sz w:val="32"/>
          <w:szCs w:val="32"/>
        </w:rPr>
        <w:lastRenderedPageBreak/>
        <w:t>人沟通，了解资金的内容、操作流程、管理机制、资金使用方向等情况并采集信息，了解项目设置背景及资金使用等情况。</w:t>
      </w:r>
      <w:r>
        <w:rPr>
          <w:rStyle w:val="ad"/>
          <w:rFonts w:ascii="楷体" w:eastAsia="楷体" w:hAnsi="楷体" w:hint="eastAsia"/>
          <w:b w:val="0"/>
          <w:bCs w:val="0"/>
          <w:spacing w:val="-4"/>
          <w:sz w:val="32"/>
          <w:szCs w:val="32"/>
        </w:rPr>
        <w:br/>
        <w:t>3.分析评价</w:t>
      </w:r>
      <w:r>
        <w:rPr>
          <w:rStyle w:val="ad"/>
          <w:rFonts w:ascii="楷体" w:eastAsia="楷体" w:hAnsi="楷体" w:hint="eastAsia"/>
          <w:b w:val="0"/>
          <w:bCs w:val="0"/>
          <w:spacing w:val="-4"/>
          <w:sz w:val="32"/>
          <w:szCs w:val="32"/>
        </w:rPr>
        <w:br/>
        <w:t xml:space="preserve">2025年3月15日-3月20日，评价小组按照绩效评价的原则和规范，对取得的资料进行审查核实，对采集的数据进行分析，按照绩效评价指标评分表逐项进行打分、分析、汇总各方评价结果。　</w:t>
      </w:r>
      <w:r>
        <w:rPr>
          <w:rStyle w:val="ad"/>
          <w:rFonts w:ascii="楷体" w:eastAsia="楷体" w:hAnsi="楷体" w:hint="eastAsia"/>
          <w:b w:val="0"/>
          <w:bCs w:val="0"/>
          <w:spacing w:val="-4"/>
          <w:sz w:val="32"/>
          <w:szCs w:val="32"/>
        </w:rPr>
        <w:br/>
        <w:t>4.撰写与提交评价报告</w:t>
      </w:r>
      <w:r>
        <w:rPr>
          <w:rStyle w:val="ad"/>
          <w:rFonts w:ascii="楷体" w:eastAsia="楷体" w:hAnsi="楷体" w:hint="eastAsia"/>
          <w:b w:val="0"/>
          <w:bCs w:val="0"/>
          <w:spacing w:val="-4"/>
          <w:sz w:val="32"/>
          <w:szCs w:val="32"/>
        </w:rPr>
        <w:br/>
        <w:t>2025年3月21日-3月28日，评价小组撰写绩效评价报告，按照新疆维吾尔自治区财政绩效管理信息系统绩效评价模块中统</w:t>
      </w:r>
      <w:proofErr w:type="gramStart"/>
      <w:r>
        <w:rPr>
          <w:rStyle w:val="ad"/>
          <w:rFonts w:ascii="楷体" w:eastAsia="楷体" w:hAnsi="楷体" w:hint="eastAsia"/>
          <w:b w:val="0"/>
          <w:bCs w:val="0"/>
          <w:spacing w:val="-4"/>
          <w:sz w:val="32"/>
          <w:szCs w:val="32"/>
        </w:rPr>
        <w:t>一</w:t>
      </w:r>
      <w:proofErr w:type="gramEnd"/>
      <w:r>
        <w:rPr>
          <w:rStyle w:val="ad"/>
          <w:rFonts w:ascii="楷体" w:eastAsia="楷体" w:hAnsi="楷体" w:hint="eastAsia"/>
          <w:b w:val="0"/>
          <w:bCs w:val="0"/>
          <w:spacing w:val="-4"/>
          <w:sz w:val="32"/>
          <w:szCs w:val="32"/>
        </w:rPr>
        <w:t>格式和文本框架撰写绩效评价报告并提交审核。</w:t>
      </w:r>
      <w:r>
        <w:rPr>
          <w:rStyle w:val="ad"/>
          <w:rFonts w:ascii="楷体" w:eastAsia="楷体" w:hAnsi="楷体" w:hint="eastAsia"/>
          <w:b w:val="0"/>
          <w:bCs w:val="0"/>
          <w:spacing w:val="-4"/>
          <w:sz w:val="32"/>
          <w:szCs w:val="32"/>
        </w:rPr>
        <w:br/>
        <w:t>5.问题整改</w:t>
      </w:r>
      <w:r>
        <w:rPr>
          <w:rStyle w:val="ad"/>
          <w:rFonts w:ascii="楷体" w:eastAsia="楷体" w:hAnsi="楷体" w:hint="eastAsia"/>
          <w:b w:val="0"/>
          <w:bCs w:val="0"/>
          <w:spacing w:val="-4"/>
          <w:sz w:val="32"/>
          <w:szCs w:val="32"/>
        </w:rPr>
        <w:br/>
        <w:t>经审核通过后，</w:t>
      </w:r>
      <w:proofErr w:type="gramStart"/>
      <w:r>
        <w:rPr>
          <w:rStyle w:val="ad"/>
          <w:rFonts w:ascii="楷体" w:eastAsia="楷体" w:hAnsi="楷体" w:hint="eastAsia"/>
          <w:b w:val="0"/>
          <w:bCs w:val="0"/>
          <w:spacing w:val="-4"/>
          <w:sz w:val="32"/>
          <w:szCs w:val="32"/>
        </w:rPr>
        <w:t>由评价</w:t>
      </w:r>
      <w:proofErr w:type="gramEnd"/>
      <w:r>
        <w:rPr>
          <w:rStyle w:val="ad"/>
          <w:rFonts w:ascii="楷体" w:eastAsia="楷体" w:hAnsi="楷体" w:hint="eastAsia"/>
          <w:b w:val="0"/>
          <w:bCs w:val="0"/>
          <w:spacing w:val="-4"/>
          <w:sz w:val="32"/>
          <w:szCs w:val="32"/>
        </w:rPr>
        <w:t>小组将报告推送至项目实施人员，由项目实施人员根据报告评价结论、存在的问题以及改进建议落实问题整改，并形成整改报告，</w:t>
      </w:r>
      <w:proofErr w:type="gramStart"/>
      <w:r>
        <w:rPr>
          <w:rStyle w:val="ad"/>
          <w:rFonts w:ascii="楷体" w:eastAsia="楷体" w:hAnsi="楷体" w:hint="eastAsia"/>
          <w:b w:val="0"/>
          <w:bCs w:val="0"/>
          <w:spacing w:val="-4"/>
          <w:sz w:val="32"/>
          <w:szCs w:val="32"/>
        </w:rPr>
        <w:t>由评价</w:t>
      </w:r>
      <w:proofErr w:type="gramEnd"/>
      <w:r>
        <w:rPr>
          <w:rStyle w:val="ad"/>
          <w:rFonts w:ascii="楷体" w:eastAsia="楷体" w:hAnsi="楷体" w:hint="eastAsia"/>
          <w:b w:val="0"/>
          <w:bCs w:val="0"/>
          <w:spacing w:val="-4"/>
          <w:sz w:val="32"/>
          <w:szCs w:val="32"/>
        </w:rPr>
        <w:t>小组负责监督和核查整改落实情况，确保绩效评价落到实处。</w:t>
      </w:r>
      <w:r>
        <w:rPr>
          <w:rStyle w:val="ad"/>
          <w:rFonts w:ascii="楷体" w:eastAsia="楷体" w:hAnsi="楷体" w:hint="eastAsia"/>
          <w:b w:val="0"/>
          <w:bCs w:val="0"/>
          <w:spacing w:val="-4"/>
          <w:sz w:val="32"/>
          <w:szCs w:val="32"/>
        </w:rPr>
        <w:br/>
        <w:t>6.档案整理</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43EF59E7" w14:textId="77777777" w:rsidR="00F461C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5058D812"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经评价，通过本项目的实施，完成了年初设立的绩效目标，解决了牧民草场补偿问题，在实施过程中取得了良好的成效，具体表现在：一是牧民得到补偿后，收入直接增加，推动</w:t>
      </w:r>
      <w:proofErr w:type="gramStart"/>
      <w:r>
        <w:rPr>
          <w:rStyle w:val="ad"/>
          <w:rFonts w:ascii="楷体" w:eastAsia="楷体" w:hAnsi="楷体" w:hint="eastAsia"/>
          <w:b w:val="0"/>
          <w:bCs w:val="0"/>
          <w:spacing w:val="-4"/>
          <w:sz w:val="32"/>
          <w:szCs w:val="32"/>
        </w:rPr>
        <w:t>了草场保护</w:t>
      </w:r>
      <w:proofErr w:type="gramEnd"/>
      <w:r>
        <w:rPr>
          <w:rStyle w:val="ad"/>
          <w:rFonts w:ascii="楷体" w:eastAsia="楷体" w:hAnsi="楷体" w:hint="eastAsia"/>
          <w:b w:val="0"/>
          <w:bCs w:val="0"/>
          <w:spacing w:val="-4"/>
          <w:sz w:val="32"/>
          <w:szCs w:val="32"/>
        </w:rPr>
        <w:t>与建设，有利于草场生态的恢复和</w:t>
      </w:r>
      <w:proofErr w:type="gramStart"/>
      <w:r>
        <w:rPr>
          <w:rStyle w:val="ad"/>
          <w:rFonts w:ascii="楷体" w:eastAsia="楷体" w:hAnsi="楷体" w:hint="eastAsia"/>
          <w:b w:val="0"/>
          <w:bCs w:val="0"/>
          <w:spacing w:val="-4"/>
          <w:sz w:val="32"/>
          <w:szCs w:val="32"/>
        </w:rPr>
        <w:t>可</w:t>
      </w:r>
      <w:proofErr w:type="gramEnd"/>
      <w:r>
        <w:rPr>
          <w:rStyle w:val="ad"/>
          <w:rFonts w:ascii="楷体" w:eastAsia="楷体" w:hAnsi="楷体" w:hint="eastAsia"/>
          <w:b w:val="0"/>
          <w:bCs w:val="0"/>
          <w:spacing w:val="-4"/>
          <w:sz w:val="32"/>
          <w:szCs w:val="32"/>
        </w:rPr>
        <w:t>持续利用。同时促进了社会稳</w:t>
      </w:r>
      <w:r>
        <w:rPr>
          <w:rStyle w:val="ad"/>
          <w:rFonts w:ascii="楷体" w:eastAsia="楷体" w:hAnsi="楷体" w:hint="eastAsia"/>
          <w:b w:val="0"/>
          <w:bCs w:val="0"/>
          <w:spacing w:val="-4"/>
          <w:sz w:val="32"/>
          <w:szCs w:val="32"/>
        </w:rPr>
        <w:lastRenderedPageBreak/>
        <w:t>定，减少了矛盾纠纷。二是为顺利推进易事特</w:t>
      </w:r>
      <w:proofErr w:type="gramStart"/>
      <w:r>
        <w:rPr>
          <w:rStyle w:val="ad"/>
          <w:rFonts w:ascii="楷体" w:eastAsia="楷体" w:hAnsi="楷体" w:hint="eastAsia"/>
          <w:b w:val="0"/>
          <w:bCs w:val="0"/>
          <w:spacing w:val="-4"/>
          <w:sz w:val="32"/>
          <w:szCs w:val="32"/>
        </w:rPr>
        <w:t>30万千瓦光储体</w:t>
      </w:r>
      <w:proofErr w:type="gramEnd"/>
      <w:r>
        <w:rPr>
          <w:rStyle w:val="ad"/>
          <w:rFonts w:ascii="楷体" w:eastAsia="楷体" w:hAnsi="楷体" w:hint="eastAsia"/>
          <w:b w:val="0"/>
          <w:bCs w:val="0"/>
          <w:spacing w:val="-4"/>
          <w:sz w:val="32"/>
          <w:szCs w:val="32"/>
        </w:rPr>
        <w:t>化低碳园区转型能源项目打下坚实基础。三是生态环境明显提升，牧民满意度达90%以上。</w:t>
      </w:r>
      <w:r>
        <w:rPr>
          <w:rStyle w:val="ad"/>
          <w:rFonts w:ascii="楷体" w:eastAsia="楷体" w:hAnsi="楷体" w:hint="eastAsia"/>
          <w:b w:val="0"/>
          <w:bCs w:val="0"/>
          <w:spacing w:val="-4"/>
          <w:sz w:val="32"/>
          <w:szCs w:val="32"/>
        </w:rPr>
        <w:br/>
        <w:t>（二）评价结论</w:t>
      </w:r>
      <w:r>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100.00%。项目决策类指标共设置6个，满分指标6个，得分率100.00%；过程管理类指标共设置5个，满分指标5个，得分率100.00%；项目产出类指标共设置5个，满分指标5个，得分率100.00%；项目效益类指标共设置1个，满分指标1个，得分率100.00%；项目</w:t>
      </w:r>
      <w:proofErr w:type="gramStart"/>
      <w:r>
        <w:rPr>
          <w:rStyle w:val="ad"/>
          <w:rFonts w:ascii="楷体" w:eastAsia="楷体" w:hAnsi="楷体" w:hint="eastAsia"/>
          <w:b w:val="0"/>
          <w:bCs w:val="0"/>
          <w:spacing w:val="-4"/>
          <w:sz w:val="32"/>
          <w:szCs w:val="32"/>
        </w:rPr>
        <w:t>满意度类指标</w:t>
      </w:r>
      <w:proofErr w:type="gramEnd"/>
      <w:r>
        <w:rPr>
          <w:rStyle w:val="ad"/>
          <w:rFonts w:ascii="楷体" w:eastAsia="楷体" w:hAnsi="楷体" w:hint="eastAsia"/>
          <w:b w:val="0"/>
          <w:bCs w:val="0"/>
          <w:spacing w:val="-4"/>
          <w:sz w:val="32"/>
          <w:szCs w:val="32"/>
        </w:rPr>
        <w:t>共设置1个，满分指标1个，得分率100.00%。详细情况见“表3-1：项目综合得分表”及“附件2：项目综合得分表”。</w:t>
      </w:r>
      <w:r>
        <w:rPr>
          <w:rStyle w:val="ad"/>
          <w:rFonts w:ascii="楷体" w:eastAsia="楷体" w:hAnsi="楷体" w:hint="eastAsia"/>
          <w:b w:val="0"/>
          <w:bCs w:val="0"/>
          <w:spacing w:val="-4"/>
          <w:sz w:val="32"/>
          <w:szCs w:val="32"/>
        </w:rPr>
        <w:br/>
        <w:t>表3-1：项目综合得分表</w:t>
      </w:r>
      <w:r>
        <w:rPr>
          <w:rStyle w:val="ad"/>
          <w:rFonts w:ascii="楷体" w:eastAsia="楷体" w:hAnsi="楷体" w:hint="eastAsia"/>
          <w:b w:val="0"/>
          <w:bCs w:val="0"/>
          <w:spacing w:val="-4"/>
          <w:sz w:val="32"/>
          <w:szCs w:val="32"/>
        </w:rPr>
        <w:br/>
        <w:t xml:space="preserve">指标 决策类 管理类 产出类 效益类 </w:t>
      </w:r>
      <w:proofErr w:type="gramStart"/>
      <w:r>
        <w:rPr>
          <w:rStyle w:val="ad"/>
          <w:rFonts w:ascii="楷体" w:eastAsia="楷体" w:hAnsi="楷体" w:hint="eastAsia"/>
          <w:b w:val="0"/>
          <w:bCs w:val="0"/>
          <w:spacing w:val="-4"/>
          <w:sz w:val="32"/>
          <w:szCs w:val="32"/>
        </w:rPr>
        <w:t>满意度类</w:t>
      </w:r>
      <w:proofErr w:type="gramEnd"/>
      <w:r>
        <w:rPr>
          <w:rStyle w:val="ad"/>
          <w:rFonts w:ascii="楷体" w:eastAsia="楷体" w:hAnsi="楷体" w:hint="eastAsia"/>
          <w:b w:val="0"/>
          <w:bCs w:val="0"/>
          <w:spacing w:val="-4"/>
          <w:sz w:val="32"/>
          <w:szCs w:val="32"/>
        </w:rPr>
        <w:t xml:space="preserve"> 合计</w:t>
      </w:r>
      <w:r>
        <w:rPr>
          <w:rStyle w:val="ad"/>
          <w:rFonts w:ascii="楷体" w:eastAsia="楷体" w:hAnsi="楷体" w:hint="eastAsia"/>
          <w:b w:val="0"/>
          <w:bCs w:val="0"/>
          <w:spacing w:val="-4"/>
          <w:sz w:val="32"/>
          <w:szCs w:val="32"/>
        </w:rPr>
        <w:br/>
        <w:t>权重 21.00 19.00 30.00 20.00 10.00 100.00</w:t>
      </w:r>
      <w:r>
        <w:rPr>
          <w:rStyle w:val="ad"/>
          <w:rFonts w:ascii="楷体" w:eastAsia="楷体" w:hAnsi="楷体" w:hint="eastAsia"/>
          <w:b w:val="0"/>
          <w:bCs w:val="0"/>
          <w:spacing w:val="-4"/>
          <w:sz w:val="32"/>
          <w:szCs w:val="32"/>
        </w:rPr>
        <w:br/>
        <w:t>得分 21.00 19.00 30.00 20.00 10.00 100.00</w:t>
      </w:r>
      <w:r>
        <w:rPr>
          <w:rStyle w:val="ad"/>
          <w:rFonts w:ascii="楷体" w:eastAsia="楷体" w:hAnsi="楷体" w:hint="eastAsia"/>
          <w:b w:val="0"/>
          <w:bCs w:val="0"/>
          <w:spacing w:val="-4"/>
          <w:sz w:val="32"/>
          <w:szCs w:val="32"/>
        </w:rPr>
        <w:br/>
        <w:t>得分率 100.00% 100.00% 100.00% 100.00% 100.00% 100.00%</w:t>
      </w:r>
    </w:p>
    <w:p w14:paraId="7B660C9E" w14:textId="77777777" w:rsidR="00F461CC"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14FF00B0" w14:textId="77777777" w:rsidR="00F461CC"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15CA1A03" w14:textId="77777777" w:rsidR="00F461CC"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项目决策类指标由3个二级指标和6个三级指标构成，权重分21.00分，实际得分21.00分。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1.项目立项情况分析</w:t>
      </w:r>
      <w:r>
        <w:rPr>
          <w:rStyle w:val="ad"/>
          <w:rFonts w:ascii="楷体" w:eastAsia="楷体" w:hAnsi="楷体" w:hint="eastAsia"/>
          <w:b w:val="0"/>
          <w:bCs w:val="0"/>
          <w:spacing w:val="-4"/>
          <w:sz w:val="32"/>
          <w:szCs w:val="32"/>
        </w:rPr>
        <w:br/>
        <w:t>（1）立项依据充分性</w:t>
      </w:r>
      <w:r>
        <w:rPr>
          <w:rStyle w:val="ad"/>
          <w:rFonts w:ascii="楷体" w:eastAsia="楷体" w:hAnsi="楷体" w:hint="eastAsia"/>
          <w:b w:val="0"/>
          <w:bCs w:val="0"/>
          <w:spacing w:val="-4"/>
          <w:sz w:val="32"/>
          <w:szCs w:val="32"/>
        </w:rPr>
        <w:br/>
        <w:t>本项目立项符合《关于公布自治区征收农用地区片综合地价标准的通知》；本项目立项符合《昌吉市人民政府关于公布实施昌吉市征收农用地片综合地价的通知》文件规定，符合行业发展规划和政策要求；本项目立项符合《昌吉市林业和草原局职能配置、内设机构和人员编制规定》中职责范围中的“组织实施林业和草原生态补偿工作”，属于我单位履职所需；根据《财政资金直接支付申请书》，本项目资金性质为“公共财政预算”功能分类为“2120801”经济分类为“土地征迁补偿和安置支出”属于公共财政支持范围，符合中央、地方事权支出责任划分原则；经检查我单位财政管理一体化信息系统，本项目不存在重复。</w:t>
      </w:r>
      <w:r>
        <w:rPr>
          <w:rStyle w:val="ad"/>
          <w:rFonts w:ascii="楷体" w:eastAsia="楷体" w:hAnsi="楷体" w:hint="eastAsia"/>
          <w:b w:val="0"/>
          <w:bCs w:val="0"/>
          <w:spacing w:val="-4"/>
          <w:sz w:val="32"/>
          <w:szCs w:val="32"/>
        </w:rPr>
        <w:br/>
        <w:t>综上所述，本指标满分为5.00分，根据评分标准得5.00分，本项目立项依据充分。</w:t>
      </w:r>
      <w:r>
        <w:rPr>
          <w:rStyle w:val="ad"/>
          <w:rFonts w:ascii="楷体" w:eastAsia="楷体" w:hAnsi="楷体" w:hint="eastAsia"/>
          <w:b w:val="0"/>
          <w:bCs w:val="0"/>
          <w:spacing w:val="-4"/>
          <w:sz w:val="32"/>
          <w:szCs w:val="32"/>
        </w:rPr>
        <w:br/>
        <w:t>（2）立项程序规范性</w:t>
      </w:r>
      <w:r>
        <w:rPr>
          <w:rStyle w:val="ad"/>
          <w:rFonts w:ascii="楷体" w:eastAsia="楷体" w:hAnsi="楷体" w:hint="eastAsia"/>
          <w:b w:val="0"/>
          <w:bCs w:val="0"/>
          <w:spacing w:val="-4"/>
          <w:sz w:val="32"/>
          <w:szCs w:val="32"/>
        </w:rPr>
        <w:br/>
        <w:t>本项目为</w:t>
      </w:r>
      <w:proofErr w:type="gramStart"/>
      <w:r>
        <w:rPr>
          <w:rStyle w:val="ad"/>
          <w:rFonts w:ascii="楷体" w:eastAsia="楷体" w:hAnsi="楷体" w:hint="eastAsia"/>
          <w:b w:val="0"/>
          <w:bCs w:val="0"/>
          <w:spacing w:val="-4"/>
          <w:sz w:val="32"/>
          <w:szCs w:val="32"/>
        </w:rPr>
        <w:t>非基础</w:t>
      </w:r>
      <w:proofErr w:type="gramEnd"/>
      <w:r>
        <w:rPr>
          <w:rStyle w:val="ad"/>
          <w:rFonts w:ascii="楷体" w:eastAsia="楷体" w:hAnsi="楷体" w:hint="eastAsia"/>
          <w:b w:val="0"/>
          <w:bCs w:val="0"/>
          <w:spacing w:val="-4"/>
          <w:sz w:val="32"/>
          <w:szCs w:val="32"/>
        </w:rPr>
        <w:t>建设类项目，不</w:t>
      </w:r>
      <w:proofErr w:type="gramStart"/>
      <w:r>
        <w:rPr>
          <w:rStyle w:val="ad"/>
          <w:rFonts w:ascii="楷体" w:eastAsia="楷体" w:hAnsi="楷体" w:hint="eastAsia"/>
          <w:b w:val="0"/>
          <w:bCs w:val="0"/>
          <w:spacing w:val="-4"/>
          <w:sz w:val="32"/>
          <w:szCs w:val="32"/>
        </w:rPr>
        <w:t>涉及发改立项</w:t>
      </w:r>
      <w:proofErr w:type="gramEnd"/>
      <w:r>
        <w:rPr>
          <w:rStyle w:val="ad"/>
          <w:rFonts w:ascii="楷体" w:eastAsia="楷体" w:hAnsi="楷体" w:hint="eastAsia"/>
          <w:b w:val="0"/>
          <w:bCs w:val="0"/>
          <w:spacing w:val="-4"/>
          <w:sz w:val="32"/>
          <w:szCs w:val="32"/>
        </w:rPr>
        <w:t>批复流程，由我单位自行编制项目实施方案和项目预算申请计划，经过与党委会研究确定最终预算方案。经查看，该项目申请设立过程产生的相关文件，符合相关要求，本项目为</w:t>
      </w:r>
      <w:proofErr w:type="gramStart"/>
      <w:r>
        <w:rPr>
          <w:rStyle w:val="ad"/>
          <w:rFonts w:ascii="楷体" w:eastAsia="楷体" w:hAnsi="楷体" w:hint="eastAsia"/>
          <w:b w:val="0"/>
          <w:bCs w:val="0"/>
          <w:spacing w:val="-4"/>
          <w:sz w:val="32"/>
          <w:szCs w:val="32"/>
        </w:rPr>
        <w:t>非基础</w:t>
      </w:r>
      <w:proofErr w:type="gramEnd"/>
      <w:r>
        <w:rPr>
          <w:rStyle w:val="ad"/>
          <w:rFonts w:ascii="楷体" w:eastAsia="楷体" w:hAnsi="楷体" w:hint="eastAsia"/>
          <w:b w:val="0"/>
          <w:bCs w:val="0"/>
          <w:spacing w:val="-4"/>
          <w:sz w:val="32"/>
          <w:szCs w:val="32"/>
        </w:rPr>
        <w:t>建设类项目，属于专项资金安排项目，不涉及事前绩效评估、可行性研究以及风险评估，由我单位严格按照《关于公布自治区征收农用地区片综合地价的通知》（新自然资</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〔2020〕4号）文件要求实施项目。</w:t>
      </w:r>
      <w:r>
        <w:rPr>
          <w:rStyle w:val="ad"/>
          <w:rFonts w:ascii="楷体" w:eastAsia="楷体" w:hAnsi="楷体" w:hint="eastAsia"/>
          <w:b w:val="0"/>
          <w:bCs w:val="0"/>
          <w:spacing w:val="-4"/>
          <w:sz w:val="32"/>
          <w:szCs w:val="32"/>
        </w:rPr>
        <w:br/>
        <w:t>综上所述，本指标满分为3.00分，根据评分标准得3.00分，本项目立项程序规范。</w:t>
      </w:r>
      <w:r>
        <w:rPr>
          <w:rStyle w:val="ad"/>
          <w:rFonts w:ascii="楷体" w:eastAsia="楷体" w:hAnsi="楷体" w:hint="eastAsia"/>
          <w:b w:val="0"/>
          <w:bCs w:val="0"/>
          <w:spacing w:val="-4"/>
          <w:sz w:val="32"/>
          <w:szCs w:val="32"/>
        </w:rPr>
        <w:br/>
        <w:t>2.绩效目标情况分析</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（1）绩效目标合理性</w:t>
      </w:r>
      <w:r>
        <w:rPr>
          <w:rStyle w:val="ad"/>
          <w:rFonts w:ascii="楷体" w:eastAsia="楷体" w:hAnsi="楷体" w:hint="eastAsia"/>
          <w:b w:val="0"/>
          <w:bCs w:val="0"/>
          <w:spacing w:val="-4"/>
          <w:sz w:val="32"/>
          <w:szCs w:val="32"/>
        </w:rPr>
        <w:br/>
        <w:t>①该项目已设置年度绩效目标，具体内容为“根据市财政项目安排，本年度安排资金2258.55万元用于新疆庭州汇捷新能源科技有限公司光伏项目使用阿什里乡二道水村牧民使用的草场，共计11950亩（易事特30万千瓦光储体化低碳园区转型新能源项目使用）。项目完成后，生态环境明显提升，牧民满意度达90%以上。”。</w:t>
      </w:r>
      <w:r>
        <w:rPr>
          <w:rStyle w:val="ad"/>
          <w:rFonts w:ascii="楷体" w:eastAsia="楷体" w:hAnsi="楷体" w:hint="eastAsia"/>
          <w:b w:val="0"/>
          <w:bCs w:val="0"/>
          <w:spacing w:val="-4"/>
          <w:sz w:val="32"/>
          <w:szCs w:val="32"/>
        </w:rPr>
        <w:br/>
        <w:t>②该项目实际工作内容为：根据市财政项目安排，本年度安排资金2258.55万元，用于新疆庭州汇捷新能源科技有限公司光</w:t>
      </w:r>
      <w:proofErr w:type="gramStart"/>
      <w:r>
        <w:rPr>
          <w:rStyle w:val="ad"/>
          <w:rFonts w:ascii="楷体" w:eastAsia="楷体" w:hAnsi="楷体" w:hint="eastAsia"/>
          <w:b w:val="0"/>
          <w:bCs w:val="0"/>
          <w:spacing w:val="-4"/>
          <w:sz w:val="32"/>
          <w:szCs w:val="32"/>
        </w:rPr>
        <w:t>伏项目</w:t>
      </w:r>
      <w:proofErr w:type="gramEnd"/>
      <w:r>
        <w:rPr>
          <w:rStyle w:val="ad"/>
          <w:rFonts w:ascii="楷体" w:eastAsia="楷体" w:hAnsi="楷体" w:hint="eastAsia"/>
          <w:b w:val="0"/>
          <w:bCs w:val="0"/>
          <w:spacing w:val="-4"/>
          <w:sz w:val="32"/>
          <w:szCs w:val="32"/>
        </w:rPr>
        <w:t>使用阿什里乡二道水村牧民使用的草场补偿费，共计11950亩（易事特</w:t>
      </w:r>
      <w:proofErr w:type="gramStart"/>
      <w:r>
        <w:rPr>
          <w:rStyle w:val="ad"/>
          <w:rFonts w:ascii="楷体" w:eastAsia="楷体" w:hAnsi="楷体" w:hint="eastAsia"/>
          <w:b w:val="0"/>
          <w:bCs w:val="0"/>
          <w:spacing w:val="-4"/>
          <w:sz w:val="32"/>
          <w:szCs w:val="32"/>
        </w:rPr>
        <w:t>30万千瓦光储体</w:t>
      </w:r>
      <w:proofErr w:type="gramEnd"/>
      <w:r>
        <w:rPr>
          <w:rStyle w:val="ad"/>
          <w:rFonts w:ascii="楷体" w:eastAsia="楷体" w:hAnsi="楷体" w:hint="eastAsia"/>
          <w:b w:val="0"/>
          <w:bCs w:val="0"/>
          <w:spacing w:val="-4"/>
          <w:sz w:val="32"/>
          <w:szCs w:val="32"/>
        </w:rPr>
        <w:t>化低碳园区转型新能源项目使用）。按照现行国家补偿标准新自然</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[2020]4号及昌吉市政告[2020]5号文件要求，转让价款为1890元/亩，该笔补偿资金已于2024年12月19日支付至昌吉市阿什里乡人民政府。通过该项目的完成，该地区生态环境明显提升，牧民满意度达90%。绩效目标与实际工作内容一致，两者具有相关性。</w:t>
      </w:r>
      <w:r>
        <w:rPr>
          <w:rStyle w:val="ad"/>
          <w:rFonts w:ascii="楷体" w:eastAsia="楷体" w:hAnsi="楷体" w:hint="eastAsia"/>
          <w:b w:val="0"/>
          <w:bCs w:val="0"/>
          <w:spacing w:val="-4"/>
          <w:sz w:val="32"/>
          <w:szCs w:val="32"/>
        </w:rPr>
        <w:br/>
        <w:t>③该项目按照绩效目标完成数量指标、质量指标、时效指标、成本指标，完成了既定指标，达到了牧民经济收入的直接增加和促进了社会的和谐稳定效益，预期产出效益和效果是否符合正常的业绩水平。</w:t>
      </w:r>
      <w:r>
        <w:rPr>
          <w:rStyle w:val="ad"/>
          <w:rFonts w:ascii="楷体" w:eastAsia="楷体" w:hAnsi="楷体" w:hint="eastAsia"/>
          <w:b w:val="0"/>
          <w:bCs w:val="0"/>
          <w:spacing w:val="-4"/>
          <w:sz w:val="32"/>
          <w:szCs w:val="32"/>
        </w:rPr>
        <w:br/>
        <w:t>④该项目批复的预算金额为2258.55万元，《项目支出绩效目标表》中预算金额为2258.55万元，预算确定的项目资金与预算确定的项目投资额相匹配。</w:t>
      </w:r>
      <w:r>
        <w:rPr>
          <w:rStyle w:val="ad"/>
          <w:rFonts w:ascii="楷体" w:eastAsia="楷体" w:hAnsi="楷体" w:hint="eastAsia"/>
          <w:b w:val="0"/>
          <w:bCs w:val="0"/>
          <w:spacing w:val="-4"/>
          <w:sz w:val="32"/>
          <w:szCs w:val="32"/>
        </w:rPr>
        <w:br/>
        <w:t>综上所述，本指标满分为4.00分，根据评分标准得4.00分，本项目绩效目标设置合理。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（2）绩效指标明确性</w:t>
      </w:r>
      <w:r>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ad"/>
          <w:rFonts w:ascii="楷体" w:eastAsia="楷体" w:hAnsi="楷体" w:hint="eastAsia"/>
          <w:b w:val="0"/>
          <w:bCs w:val="0"/>
          <w:spacing w:val="-4"/>
          <w:sz w:val="32"/>
          <w:szCs w:val="32"/>
        </w:rPr>
        <w:br/>
        <w:t>该《项目绩效目标表》中，数量指标值为“=11950亩 ”“涉及项目数量”，三级指标的年度指标值与年度绩效目标中任务数一致，已设置时效指标“项目当年完成率”。已设置的绩效目标具备明确性、可衡量性、可实现性、相关性、时限性。</w:t>
      </w:r>
      <w:r>
        <w:rPr>
          <w:rStyle w:val="ad"/>
          <w:rFonts w:ascii="楷体" w:eastAsia="楷体" w:hAnsi="楷体" w:hint="eastAsia"/>
          <w:b w:val="0"/>
          <w:bCs w:val="0"/>
          <w:spacing w:val="-4"/>
          <w:sz w:val="32"/>
          <w:szCs w:val="32"/>
        </w:rPr>
        <w:br/>
        <w:t>综上所述，本指标满分为3.00分，根据评分标准得3.00分，本项目所设置绩效指标明确。</w:t>
      </w:r>
      <w:r>
        <w:rPr>
          <w:rStyle w:val="ad"/>
          <w:rFonts w:ascii="楷体" w:eastAsia="楷体" w:hAnsi="楷体" w:hint="eastAsia"/>
          <w:b w:val="0"/>
          <w:bCs w:val="0"/>
          <w:spacing w:val="-4"/>
          <w:sz w:val="32"/>
          <w:szCs w:val="32"/>
        </w:rPr>
        <w:br/>
        <w:t>3.资金投入情况分析</w:t>
      </w:r>
      <w:r>
        <w:rPr>
          <w:rStyle w:val="ad"/>
          <w:rFonts w:ascii="楷体" w:eastAsia="楷体" w:hAnsi="楷体" w:hint="eastAsia"/>
          <w:b w:val="0"/>
          <w:bCs w:val="0"/>
          <w:spacing w:val="-4"/>
          <w:sz w:val="32"/>
          <w:szCs w:val="32"/>
        </w:rPr>
        <w:br/>
        <w:t>（1）预算编制科学性</w:t>
      </w:r>
      <w:r>
        <w:rPr>
          <w:rStyle w:val="ad"/>
          <w:rFonts w:ascii="楷体" w:eastAsia="楷体" w:hAnsi="楷体" w:hint="eastAsia"/>
          <w:b w:val="0"/>
          <w:bCs w:val="0"/>
          <w:spacing w:val="-4"/>
          <w:sz w:val="32"/>
          <w:szCs w:val="32"/>
        </w:rPr>
        <w:br/>
        <w:t>本项目预算编制通过新自然资</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（2020）4号，《关于公布自治区征收农用地区片综合地价标准得通知》</w:t>
      </w:r>
      <w:proofErr w:type="gramStart"/>
      <w:r>
        <w:rPr>
          <w:rStyle w:val="ad"/>
          <w:rFonts w:ascii="楷体" w:eastAsia="楷体" w:hAnsi="楷体" w:hint="eastAsia"/>
          <w:b w:val="0"/>
          <w:bCs w:val="0"/>
          <w:spacing w:val="-4"/>
          <w:sz w:val="32"/>
          <w:szCs w:val="32"/>
        </w:rPr>
        <w:t>得文件</w:t>
      </w:r>
      <w:proofErr w:type="gramEnd"/>
      <w:r>
        <w:rPr>
          <w:rStyle w:val="ad"/>
          <w:rFonts w:ascii="楷体" w:eastAsia="楷体" w:hAnsi="楷体" w:hint="eastAsia"/>
          <w:b w:val="0"/>
          <w:bCs w:val="0"/>
          <w:spacing w:val="-4"/>
          <w:sz w:val="32"/>
          <w:szCs w:val="32"/>
        </w:rPr>
        <w:t>规定补偿标准，根据实际草原承包经营权转让合同中的转让草原面积数量编制预算，即预算</w:t>
      </w:r>
      <w:proofErr w:type="gramStart"/>
      <w:r>
        <w:rPr>
          <w:rStyle w:val="ad"/>
          <w:rFonts w:ascii="楷体" w:eastAsia="楷体" w:hAnsi="楷体" w:hint="eastAsia"/>
          <w:b w:val="0"/>
          <w:bCs w:val="0"/>
          <w:spacing w:val="-4"/>
          <w:sz w:val="32"/>
          <w:szCs w:val="32"/>
        </w:rPr>
        <w:t>编制较</w:t>
      </w:r>
      <w:proofErr w:type="gramEnd"/>
      <w:r>
        <w:rPr>
          <w:rStyle w:val="ad"/>
          <w:rFonts w:ascii="楷体" w:eastAsia="楷体" w:hAnsi="楷体" w:hint="eastAsia"/>
          <w:b w:val="0"/>
          <w:bCs w:val="0"/>
          <w:spacing w:val="-4"/>
          <w:sz w:val="32"/>
          <w:szCs w:val="32"/>
        </w:rPr>
        <w:t>科学且经过论证；</w:t>
      </w:r>
      <w:r>
        <w:rPr>
          <w:rStyle w:val="ad"/>
          <w:rFonts w:ascii="楷体" w:eastAsia="楷体" w:hAnsi="楷体" w:hint="eastAsia"/>
          <w:b w:val="0"/>
          <w:bCs w:val="0"/>
          <w:spacing w:val="-4"/>
          <w:sz w:val="32"/>
          <w:szCs w:val="32"/>
        </w:rPr>
        <w:br/>
        <w:t>预算申请内容为牧民草场补偿费，项目实际内容为牧民草场补偿费，预算申请与《关于申请拨付牧民草场补偿费的请示》昌市林草字（2024）132号文中涉及的项目内容匹配；</w:t>
      </w:r>
      <w:r>
        <w:rPr>
          <w:rStyle w:val="ad"/>
          <w:rFonts w:ascii="楷体" w:eastAsia="楷体" w:hAnsi="楷体" w:hint="eastAsia"/>
          <w:b w:val="0"/>
          <w:bCs w:val="0"/>
          <w:spacing w:val="-4"/>
          <w:sz w:val="32"/>
          <w:szCs w:val="32"/>
        </w:rPr>
        <w:br/>
        <w:t>本项目预算申请资金2258.55万元，我单位在预算申请中严格按照项目实施内容及测算标准进行核算，补偿草场面积为11950亩，补偿标准为1890元/亩。预算确定资金量与实际工作任务相匹配。本项目预算额度测算依据充分，严格按照标准编制，预算确定资金量与实际工作任务相匹配；</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综上所述，本指标满分为4.00分，根据评分标准得4.00分，本项目预算编制科学。</w:t>
      </w:r>
      <w:r>
        <w:rPr>
          <w:rStyle w:val="ad"/>
          <w:rFonts w:ascii="楷体" w:eastAsia="楷体" w:hAnsi="楷体" w:hint="eastAsia"/>
          <w:b w:val="0"/>
          <w:bCs w:val="0"/>
          <w:spacing w:val="-4"/>
          <w:sz w:val="32"/>
          <w:szCs w:val="32"/>
        </w:rPr>
        <w:br/>
        <w:t>（2）资金分配合理性</w:t>
      </w:r>
      <w:r>
        <w:rPr>
          <w:rStyle w:val="ad"/>
          <w:rFonts w:ascii="楷体" w:eastAsia="楷体" w:hAnsi="楷体" w:hint="eastAsia"/>
          <w:b w:val="0"/>
          <w:bCs w:val="0"/>
          <w:spacing w:val="-4"/>
          <w:sz w:val="32"/>
          <w:szCs w:val="32"/>
        </w:rPr>
        <w:br/>
        <w:t>本项目实际分配资金以《关于申请拨付牧民草场补偿费的请示》为依据进行资金分配，预算资金分配依据充分。根据昌市财预字〔2024〕994号），本项目实际到位资金2258.55万元，资金分配额度合理，与我单位实际需求相适应。</w:t>
      </w:r>
      <w:r>
        <w:rPr>
          <w:rStyle w:val="ad"/>
          <w:rFonts w:ascii="楷体" w:eastAsia="楷体" w:hAnsi="楷体" w:hint="eastAsia"/>
          <w:b w:val="0"/>
          <w:bCs w:val="0"/>
          <w:spacing w:val="-4"/>
          <w:sz w:val="32"/>
          <w:szCs w:val="32"/>
        </w:rPr>
        <w:br/>
        <w:t>综上所述，本指标满分为2.00分，根据评分标准得2.00分，本项目资金分配合理。</w:t>
      </w:r>
      <w:r>
        <w:rPr>
          <w:rStyle w:val="ad"/>
          <w:rFonts w:ascii="楷体" w:eastAsia="楷体" w:hAnsi="楷体" w:hint="eastAsia"/>
          <w:b w:val="0"/>
          <w:bCs w:val="0"/>
          <w:spacing w:val="-4"/>
          <w:sz w:val="32"/>
          <w:szCs w:val="32"/>
        </w:rPr>
        <w:tab/>
      </w:r>
    </w:p>
    <w:p w14:paraId="05548FCE" w14:textId="77777777" w:rsidR="00F461CC"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181D737B" w14:textId="54967E43"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项目过程管理类指标由2个二级指标和5个三级指标构成，权重分19.00分，实际得分19.00分。</w:t>
      </w:r>
      <w:r>
        <w:rPr>
          <w:rStyle w:val="ad"/>
          <w:rFonts w:ascii="楷体" w:eastAsia="楷体" w:hAnsi="楷体" w:hint="eastAsia"/>
          <w:b w:val="0"/>
          <w:bCs w:val="0"/>
          <w:spacing w:val="-4"/>
          <w:sz w:val="32"/>
          <w:szCs w:val="32"/>
        </w:rPr>
        <w:br/>
        <w:t>1.资金管理情况分析</w:t>
      </w:r>
      <w:r>
        <w:rPr>
          <w:rStyle w:val="ad"/>
          <w:rFonts w:ascii="楷体" w:eastAsia="楷体" w:hAnsi="楷体" w:hint="eastAsia"/>
          <w:b w:val="0"/>
          <w:bCs w:val="0"/>
          <w:spacing w:val="-4"/>
          <w:sz w:val="32"/>
          <w:szCs w:val="32"/>
        </w:rPr>
        <w:br/>
        <w:t>（1）资金到位率</w:t>
      </w:r>
      <w:r>
        <w:rPr>
          <w:rStyle w:val="ad"/>
          <w:rFonts w:ascii="楷体" w:eastAsia="楷体" w:hAnsi="楷体" w:hint="eastAsia"/>
          <w:b w:val="0"/>
          <w:bCs w:val="0"/>
          <w:spacing w:val="-4"/>
          <w:sz w:val="32"/>
          <w:szCs w:val="32"/>
        </w:rPr>
        <w:br/>
        <w:t>本项目预算资金为2258.55万元，其中：财政安排资金2258.55万元，其他资金0.00万元，实际到位资金2258.55万元，资金到位率=（实际到位资金/预算资金）×100.00%=（2258.55/2258.55）×100.00%=100.00%。得分=（实际执行率-60.00%）/（1-60.00%）×4.00=4.00分。</w:t>
      </w:r>
      <w:r>
        <w:rPr>
          <w:rStyle w:val="ad"/>
          <w:rFonts w:ascii="楷体" w:eastAsia="楷体" w:hAnsi="楷体" w:hint="eastAsia"/>
          <w:b w:val="0"/>
          <w:bCs w:val="0"/>
          <w:spacing w:val="-4"/>
          <w:sz w:val="32"/>
          <w:szCs w:val="32"/>
        </w:rPr>
        <w:br/>
        <w:t>综上所述，本指标满分为4.00分，根据评分标准得4.00分，本项目资金分配合理。</w:t>
      </w:r>
      <w:r>
        <w:rPr>
          <w:rStyle w:val="ad"/>
          <w:rFonts w:ascii="楷体" w:eastAsia="楷体" w:hAnsi="楷体" w:hint="eastAsia"/>
          <w:b w:val="0"/>
          <w:bCs w:val="0"/>
          <w:spacing w:val="-4"/>
          <w:sz w:val="32"/>
          <w:szCs w:val="32"/>
        </w:rPr>
        <w:br/>
        <w:t>（2）预算执行率</w:t>
      </w:r>
      <w:r>
        <w:rPr>
          <w:rStyle w:val="ad"/>
          <w:rFonts w:ascii="楷体" w:eastAsia="楷体" w:hAnsi="楷体" w:hint="eastAsia"/>
          <w:b w:val="0"/>
          <w:bCs w:val="0"/>
          <w:spacing w:val="-4"/>
          <w:sz w:val="32"/>
          <w:szCs w:val="32"/>
        </w:rPr>
        <w:br/>
        <w:t>本项目实际支出资金2258.55万元，预算执行率=（实际支出资金/实际到位资金）×100.00%=（2258.55/2258.55）×100.00%=100.00%；</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项目已完成，总体完成率为100.00%；</w:t>
      </w:r>
      <w:r>
        <w:rPr>
          <w:rStyle w:val="ad"/>
          <w:rFonts w:ascii="楷体" w:eastAsia="楷体" w:hAnsi="楷体" w:hint="eastAsia"/>
          <w:b w:val="0"/>
          <w:bCs w:val="0"/>
          <w:spacing w:val="-4"/>
          <w:sz w:val="32"/>
          <w:szCs w:val="32"/>
        </w:rPr>
        <w:br/>
        <w:t>得分=（实际完成率-60.00%）/（1-60.00%）×权重=100.00%×5.00=5.00分。</w:t>
      </w:r>
      <w:r>
        <w:rPr>
          <w:rStyle w:val="ad"/>
          <w:rFonts w:ascii="楷体" w:eastAsia="楷体" w:hAnsi="楷体" w:hint="eastAsia"/>
          <w:b w:val="0"/>
          <w:bCs w:val="0"/>
          <w:spacing w:val="-4"/>
          <w:sz w:val="32"/>
          <w:szCs w:val="32"/>
        </w:rPr>
        <w:br/>
        <w:t>综上所述，本指标满分为5.00分，根据评分标准得5.00分，本项目资金分配合理。</w:t>
      </w:r>
      <w:r>
        <w:rPr>
          <w:rStyle w:val="ad"/>
          <w:rFonts w:ascii="楷体" w:eastAsia="楷体" w:hAnsi="楷体" w:hint="eastAsia"/>
          <w:b w:val="0"/>
          <w:bCs w:val="0"/>
          <w:spacing w:val="-4"/>
          <w:sz w:val="32"/>
          <w:szCs w:val="32"/>
        </w:rPr>
        <w:br/>
        <w:t>（3）资金使用合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w:t>
      </w:r>
      <w:r>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昌吉市林草大队财务管理制度》，资金的拨付有完整的审批程序和手续，资金实际使用方向与预算批复用途一致，不存在截留、挤占、挪用、虚列支出的情况。</w:t>
      </w:r>
      <w:r>
        <w:rPr>
          <w:rStyle w:val="ad"/>
          <w:rFonts w:ascii="楷体" w:eastAsia="楷体" w:hAnsi="楷体" w:hint="eastAsia"/>
          <w:b w:val="0"/>
          <w:bCs w:val="0"/>
          <w:spacing w:val="-4"/>
          <w:sz w:val="32"/>
          <w:szCs w:val="32"/>
        </w:rPr>
        <w:br/>
        <w:t>综上所述，本指标满分为4.00分，根据评分标准得40.00分，资金支出符合我单位财务管理制度规定。</w:t>
      </w:r>
      <w:r>
        <w:rPr>
          <w:rStyle w:val="ad"/>
          <w:rFonts w:ascii="楷体" w:eastAsia="楷体" w:hAnsi="楷体" w:hint="eastAsia"/>
          <w:b w:val="0"/>
          <w:bCs w:val="0"/>
          <w:spacing w:val="-4"/>
          <w:sz w:val="32"/>
          <w:szCs w:val="32"/>
        </w:rPr>
        <w:br/>
        <w:t>2.组织实施情况分析</w:t>
      </w:r>
      <w:r>
        <w:rPr>
          <w:rStyle w:val="ad"/>
          <w:rFonts w:ascii="楷体" w:eastAsia="楷体" w:hAnsi="楷体" w:hint="eastAsia"/>
          <w:b w:val="0"/>
          <w:bCs w:val="0"/>
          <w:spacing w:val="-4"/>
          <w:sz w:val="32"/>
          <w:szCs w:val="32"/>
        </w:rPr>
        <w:br/>
        <w:t>（1）管理制度健全性</w:t>
      </w:r>
      <w:r>
        <w:rPr>
          <w:rStyle w:val="ad"/>
          <w:rFonts w:ascii="楷体" w:eastAsia="楷体" w:hAnsi="楷体" w:hint="eastAsia"/>
          <w:b w:val="0"/>
          <w:bCs w:val="0"/>
          <w:spacing w:val="-4"/>
          <w:sz w:val="32"/>
          <w:szCs w:val="32"/>
        </w:rPr>
        <w:br/>
        <w:t>我单位已制定《</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项目管理制度》《</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收支业务管理制度》《</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政府采购业务管理制度》上述已建立的制度均符合行政事业单位内控管理要求，财务和业务管理制度合法、合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、完整，本项目执行符合上述制度规定。</w:t>
      </w:r>
      <w:r>
        <w:rPr>
          <w:rStyle w:val="ad"/>
          <w:rFonts w:ascii="楷体" w:eastAsia="楷体" w:hAnsi="楷体" w:hint="eastAsia"/>
          <w:b w:val="0"/>
          <w:bCs w:val="0"/>
          <w:spacing w:val="-4"/>
          <w:sz w:val="32"/>
          <w:szCs w:val="32"/>
        </w:rPr>
        <w:br/>
        <w:t>综上所述，本指标满分为2.00分，根据评分标准得2.00分，项目制度建设健全。</w:t>
      </w:r>
      <w:r>
        <w:rPr>
          <w:rStyle w:val="ad"/>
          <w:rFonts w:ascii="楷体" w:eastAsia="楷体" w:hAnsi="楷体" w:hint="eastAsia"/>
          <w:b w:val="0"/>
          <w:bCs w:val="0"/>
          <w:spacing w:val="-4"/>
          <w:sz w:val="32"/>
          <w:szCs w:val="32"/>
        </w:rPr>
        <w:br/>
        <w:t>（2）制度执行有效性</w:t>
      </w:r>
      <w:r>
        <w:rPr>
          <w:rStyle w:val="ad"/>
          <w:rFonts w:ascii="楷体" w:eastAsia="楷体" w:hAnsi="楷体" w:hint="eastAsia"/>
          <w:b w:val="0"/>
          <w:bCs w:val="0"/>
          <w:spacing w:val="-4"/>
          <w:sz w:val="32"/>
          <w:szCs w:val="32"/>
        </w:rPr>
        <w:br/>
        <w:t>①该项目的实施符合《</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项目管理制度》《</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收支业务管理制度》《</w:t>
      </w:r>
      <w:r w:rsidR="00761B74">
        <w:rPr>
          <w:rStyle w:val="ad"/>
          <w:rFonts w:ascii="楷体" w:eastAsia="楷体" w:hAnsi="楷体" w:hint="eastAsia"/>
          <w:b w:val="0"/>
          <w:bCs w:val="0"/>
          <w:spacing w:val="-4"/>
          <w:sz w:val="32"/>
          <w:szCs w:val="32"/>
        </w:rPr>
        <w:t>昌吉市林业和草原局</w:t>
      </w:r>
      <w:r>
        <w:rPr>
          <w:rStyle w:val="ad"/>
          <w:rFonts w:ascii="楷体" w:eastAsia="楷体" w:hAnsi="楷体" w:hint="eastAsia"/>
          <w:b w:val="0"/>
          <w:bCs w:val="0"/>
          <w:spacing w:val="-4"/>
          <w:sz w:val="32"/>
          <w:szCs w:val="32"/>
        </w:rPr>
        <w:t>政</w:t>
      </w:r>
      <w:r>
        <w:rPr>
          <w:rStyle w:val="ad"/>
          <w:rFonts w:ascii="楷体" w:eastAsia="楷体" w:hAnsi="楷体" w:hint="eastAsia"/>
          <w:b w:val="0"/>
          <w:bCs w:val="0"/>
          <w:spacing w:val="-4"/>
          <w:sz w:val="32"/>
          <w:szCs w:val="32"/>
        </w:rPr>
        <w:lastRenderedPageBreak/>
        <w:t>府采购业务管理制度》等相关法律法规及管理规定，项目具备完整规范的立项程序；经查证项目实施过程资料，项目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ad"/>
          <w:rFonts w:ascii="楷体" w:eastAsia="楷体" w:hAnsi="楷体" w:hint="eastAsia"/>
          <w:b w:val="0"/>
          <w:bCs w:val="0"/>
          <w:spacing w:val="-4"/>
          <w:sz w:val="32"/>
          <w:szCs w:val="32"/>
        </w:rPr>
        <w:br/>
        <w:t>②经现场查证项目合同书、验收评审表、财务支付凭证等资料齐全并及时归档。</w:t>
      </w:r>
      <w:r>
        <w:rPr>
          <w:rStyle w:val="ad"/>
          <w:rFonts w:ascii="楷体" w:eastAsia="楷体" w:hAnsi="楷体" w:hint="eastAsia"/>
          <w:b w:val="0"/>
          <w:bCs w:val="0"/>
          <w:spacing w:val="-4"/>
          <w:sz w:val="32"/>
          <w:szCs w:val="32"/>
        </w:rPr>
        <w:br/>
        <w:t>③该项目实施过程中不存在调整事项。</w:t>
      </w:r>
      <w:r>
        <w:rPr>
          <w:rStyle w:val="ad"/>
          <w:rFonts w:ascii="楷体" w:eastAsia="楷体" w:hAnsi="楷体" w:hint="eastAsia"/>
          <w:b w:val="0"/>
          <w:bCs w:val="0"/>
          <w:spacing w:val="-4"/>
          <w:sz w:val="32"/>
          <w:szCs w:val="32"/>
        </w:rPr>
        <w:br/>
        <w:t>④该项目实施所需要的项目人员和场地设备均已落实到位，具体涉及内容包括：项目资金支出严格按照自治区、地区以及本单位资金管理办法执行，项目启动实施后，为了加快本项目的实施，成立了牧民草场补偿项目工作领导小组，由于</w:t>
      </w:r>
      <w:proofErr w:type="gramStart"/>
      <w:r>
        <w:rPr>
          <w:rStyle w:val="ad"/>
          <w:rFonts w:ascii="楷体" w:eastAsia="楷体" w:hAnsi="楷体" w:hint="eastAsia"/>
          <w:b w:val="0"/>
          <w:bCs w:val="0"/>
          <w:spacing w:val="-4"/>
          <w:sz w:val="32"/>
          <w:szCs w:val="32"/>
        </w:rPr>
        <w:t>明波任组长</w:t>
      </w:r>
      <w:proofErr w:type="gramEnd"/>
      <w:r>
        <w:rPr>
          <w:rStyle w:val="ad"/>
          <w:rFonts w:ascii="楷体" w:eastAsia="楷体" w:hAnsi="楷体" w:hint="eastAsia"/>
          <w:b w:val="0"/>
          <w:bCs w:val="0"/>
          <w:spacing w:val="-4"/>
          <w:sz w:val="32"/>
          <w:szCs w:val="32"/>
        </w:rPr>
        <w:t>，负责项目的组织工作；马伟任副组长，负责项目的实施工作；组员包括：古丽江和加那提别克，主要负责项目监督管理、验收以及资金核拨等工作。</w:t>
      </w:r>
      <w:r>
        <w:rPr>
          <w:rStyle w:val="ad"/>
          <w:rFonts w:ascii="楷体" w:eastAsia="楷体" w:hAnsi="楷体" w:hint="eastAsia"/>
          <w:b w:val="0"/>
          <w:bCs w:val="0"/>
          <w:spacing w:val="-4"/>
          <w:sz w:val="32"/>
          <w:szCs w:val="32"/>
        </w:rPr>
        <w:br/>
        <w:t>综上所述，本指标满分为4.00分，根据评分标准得4.00分，本项目所建立制度执行有效。</w:t>
      </w:r>
    </w:p>
    <w:p w14:paraId="3CE3FE84" w14:textId="77777777" w:rsidR="00F461CC"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11A7D6B6"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项目产出类指标由4个二级指标和5个三级指标构成，权重分30.00分，实际得分30.00分。</w:t>
      </w:r>
      <w:r>
        <w:rPr>
          <w:rStyle w:val="ad"/>
          <w:rFonts w:ascii="楷体" w:eastAsia="楷体" w:hAnsi="楷体" w:hint="eastAsia"/>
          <w:b w:val="0"/>
          <w:bCs w:val="0"/>
          <w:spacing w:val="-4"/>
          <w:sz w:val="32"/>
          <w:szCs w:val="32"/>
        </w:rPr>
        <w:br/>
        <w:t>1.数量指标完成情况分析</w:t>
      </w:r>
      <w:r>
        <w:rPr>
          <w:rStyle w:val="ad"/>
          <w:rFonts w:ascii="楷体" w:eastAsia="楷体" w:hAnsi="楷体" w:hint="eastAsia"/>
          <w:b w:val="0"/>
          <w:bCs w:val="0"/>
          <w:spacing w:val="-4"/>
          <w:sz w:val="32"/>
          <w:szCs w:val="32"/>
        </w:rPr>
        <w:br/>
        <w:t>“占用草场亩数”指标：预期指标值为“=11950亩”，根据“草原承包经营权转让合同”可证，实际完成指标值为“=11950亩”，指标完成率为100.00%。</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综上所述，本指标满分为4.50分，根据评分标准得4.50分。</w:t>
      </w:r>
      <w:r>
        <w:rPr>
          <w:rStyle w:val="ad"/>
          <w:rFonts w:ascii="楷体" w:eastAsia="楷体" w:hAnsi="楷体" w:hint="eastAsia"/>
          <w:b w:val="0"/>
          <w:bCs w:val="0"/>
          <w:spacing w:val="-4"/>
          <w:sz w:val="32"/>
          <w:szCs w:val="32"/>
        </w:rPr>
        <w:br/>
        <w:t>“涉及项目数量”指标：预期指标值为“=1个”，根据“草原承包经营权转让合同”可证，实际完成指标值为“=1个”，指标完成率为100.00%。</w:t>
      </w:r>
      <w:r>
        <w:rPr>
          <w:rStyle w:val="ad"/>
          <w:rFonts w:ascii="楷体" w:eastAsia="楷体" w:hAnsi="楷体" w:hint="eastAsia"/>
          <w:b w:val="0"/>
          <w:bCs w:val="0"/>
          <w:spacing w:val="-4"/>
          <w:sz w:val="32"/>
          <w:szCs w:val="32"/>
        </w:rPr>
        <w:br/>
        <w:t>综上所述，本指标满分为4.50分，根据评分标准得4.50分。</w:t>
      </w:r>
      <w:r>
        <w:rPr>
          <w:rStyle w:val="ad"/>
          <w:rFonts w:ascii="楷体" w:eastAsia="楷体" w:hAnsi="楷体" w:hint="eastAsia"/>
          <w:b w:val="0"/>
          <w:bCs w:val="0"/>
          <w:spacing w:val="-4"/>
          <w:sz w:val="32"/>
          <w:szCs w:val="32"/>
        </w:rPr>
        <w:br/>
        <w:t>2.质量指标完成情况分析</w:t>
      </w:r>
      <w:r>
        <w:rPr>
          <w:rStyle w:val="ad"/>
          <w:rFonts w:ascii="楷体" w:eastAsia="楷体" w:hAnsi="楷体" w:hint="eastAsia"/>
          <w:b w:val="0"/>
          <w:bCs w:val="0"/>
          <w:spacing w:val="-4"/>
          <w:sz w:val="32"/>
          <w:szCs w:val="32"/>
        </w:rPr>
        <w:br/>
        <w:t>“草场补偿工作完成率”指标：预期指标值为“≥90%”，根据“国库集中支付凭证及情况小结”可证，实际完成指标值为“=90%”，指标完成率为100.00%。</w:t>
      </w:r>
      <w:r>
        <w:rPr>
          <w:rStyle w:val="ad"/>
          <w:rFonts w:ascii="楷体" w:eastAsia="楷体" w:hAnsi="楷体" w:hint="eastAsia"/>
          <w:b w:val="0"/>
          <w:bCs w:val="0"/>
          <w:spacing w:val="-4"/>
          <w:sz w:val="32"/>
          <w:szCs w:val="32"/>
        </w:rPr>
        <w:br/>
        <w:t>综上所述，本指标满分为6.00分，根据评分标准得6.00分。</w:t>
      </w:r>
      <w:r>
        <w:rPr>
          <w:rStyle w:val="ad"/>
          <w:rFonts w:ascii="楷体" w:eastAsia="楷体" w:hAnsi="楷体" w:hint="eastAsia"/>
          <w:b w:val="0"/>
          <w:bCs w:val="0"/>
          <w:spacing w:val="-4"/>
          <w:sz w:val="32"/>
          <w:szCs w:val="32"/>
        </w:rPr>
        <w:br/>
        <w:t>3.时效指标完成情况分析</w:t>
      </w:r>
      <w:r>
        <w:rPr>
          <w:rStyle w:val="ad"/>
          <w:rFonts w:ascii="楷体" w:eastAsia="楷体" w:hAnsi="楷体" w:hint="eastAsia"/>
          <w:b w:val="0"/>
          <w:bCs w:val="0"/>
          <w:spacing w:val="-4"/>
          <w:sz w:val="32"/>
          <w:szCs w:val="32"/>
        </w:rPr>
        <w:br/>
        <w:t>“项目当年完成率”指标：预期指标值为“=100.00%”，根据“国库集中支付凭证及情况小结”可证，实际完成指标值为“=100.00%”，指标完成率为100.00%。</w:t>
      </w:r>
      <w:r>
        <w:rPr>
          <w:rStyle w:val="ad"/>
          <w:rFonts w:ascii="楷体" w:eastAsia="楷体" w:hAnsi="楷体" w:hint="eastAsia"/>
          <w:b w:val="0"/>
          <w:bCs w:val="0"/>
          <w:spacing w:val="-4"/>
          <w:sz w:val="32"/>
          <w:szCs w:val="32"/>
        </w:rPr>
        <w:br/>
        <w:t>综上所述，本指标满分为5.00分，根据评分标准得5.00分。</w:t>
      </w:r>
      <w:r>
        <w:rPr>
          <w:rStyle w:val="ad"/>
          <w:rFonts w:ascii="楷体" w:eastAsia="楷体" w:hAnsi="楷体" w:hint="eastAsia"/>
          <w:b w:val="0"/>
          <w:bCs w:val="0"/>
          <w:spacing w:val="-4"/>
          <w:sz w:val="32"/>
          <w:szCs w:val="32"/>
        </w:rPr>
        <w:br/>
        <w:t>4.成本指标完成情况分析</w:t>
      </w:r>
      <w:r>
        <w:rPr>
          <w:rStyle w:val="ad"/>
          <w:rFonts w:ascii="楷体" w:eastAsia="楷体" w:hAnsi="楷体" w:hint="eastAsia"/>
          <w:b w:val="0"/>
          <w:bCs w:val="0"/>
          <w:spacing w:val="-4"/>
          <w:sz w:val="32"/>
          <w:szCs w:val="32"/>
        </w:rPr>
        <w:br/>
        <w:t>（1）经济成本指标完成情况分析</w:t>
      </w:r>
      <w:r>
        <w:rPr>
          <w:rStyle w:val="ad"/>
          <w:rFonts w:ascii="楷体" w:eastAsia="楷体" w:hAnsi="楷体" w:hint="eastAsia"/>
          <w:b w:val="0"/>
          <w:bCs w:val="0"/>
          <w:spacing w:val="-4"/>
          <w:sz w:val="32"/>
          <w:szCs w:val="32"/>
        </w:rPr>
        <w:br/>
        <w:t>“草场补偿标准”指标：预期指标值为“=1890元/亩”，根据“草原承包经营权转让合同”可证，实际完成指标值为“=1890元/亩”，指标完成率为100.00%。</w:t>
      </w:r>
      <w:r>
        <w:rPr>
          <w:rStyle w:val="ad"/>
          <w:rFonts w:ascii="楷体" w:eastAsia="楷体" w:hAnsi="楷体" w:hint="eastAsia"/>
          <w:b w:val="0"/>
          <w:bCs w:val="0"/>
          <w:spacing w:val="-4"/>
          <w:sz w:val="32"/>
          <w:szCs w:val="32"/>
        </w:rPr>
        <w:br/>
        <w:t>综上所述，本指标满分为10.00分，根据评分标准得10.00分。</w:t>
      </w:r>
      <w:r>
        <w:rPr>
          <w:rStyle w:val="ad"/>
          <w:rFonts w:ascii="楷体" w:eastAsia="楷体" w:hAnsi="楷体" w:hint="eastAsia"/>
          <w:b w:val="0"/>
          <w:bCs w:val="0"/>
          <w:spacing w:val="-4"/>
          <w:sz w:val="32"/>
          <w:szCs w:val="32"/>
        </w:rPr>
        <w:br/>
        <w:t>（2）社会成本指标完成情况分析</w:t>
      </w:r>
      <w:r>
        <w:rPr>
          <w:rStyle w:val="ad"/>
          <w:rFonts w:ascii="楷体" w:eastAsia="楷体" w:hAnsi="楷体" w:hint="eastAsia"/>
          <w:b w:val="0"/>
          <w:bCs w:val="0"/>
          <w:spacing w:val="-4"/>
          <w:sz w:val="32"/>
          <w:szCs w:val="32"/>
        </w:rPr>
        <w:br/>
        <w:t>无此类指标。</w:t>
      </w:r>
      <w:r>
        <w:rPr>
          <w:rStyle w:val="ad"/>
          <w:rFonts w:ascii="楷体" w:eastAsia="楷体" w:hAnsi="楷体" w:hint="eastAsia"/>
          <w:b w:val="0"/>
          <w:bCs w:val="0"/>
          <w:spacing w:val="-4"/>
          <w:sz w:val="32"/>
          <w:szCs w:val="32"/>
        </w:rPr>
        <w:br/>
        <w:t>（3）生态环境成本指标完成情况分析</w:t>
      </w:r>
      <w:r>
        <w:rPr>
          <w:rStyle w:val="ad"/>
          <w:rFonts w:ascii="楷体" w:eastAsia="楷体" w:hAnsi="楷体" w:hint="eastAsia"/>
          <w:b w:val="0"/>
          <w:bCs w:val="0"/>
          <w:spacing w:val="-4"/>
          <w:sz w:val="32"/>
          <w:szCs w:val="32"/>
        </w:rPr>
        <w:br/>
        <w:t>无此类指标。</w:t>
      </w:r>
    </w:p>
    <w:p w14:paraId="6EE4C5E7" w14:textId="77777777" w:rsidR="00F461CC"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lastRenderedPageBreak/>
        <w:t>（四）</w:t>
      </w:r>
      <w:r>
        <w:rPr>
          <w:rStyle w:val="ad"/>
          <w:rFonts w:ascii="楷体" w:eastAsia="楷体" w:hAnsi="楷体" w:hint="eastAsia"/>
          <w:spacing w:val="-4"/>
          <w:sz w:val="32"/>
          <w:szCs w:val="32"/>
        </w:rPr>
        <w:t>项目效益情况</w:t>
      </w:r>
    </w:p>
    <w:p w14:paraId="59891B30"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项目效益类指标由1个二级指标和1个三级指标构成，权重分20.00分，实际得分20.00分。</w:t>
      </w:r>
      <w:r>
        <w:rPr>
          <w:rStyle w:val="ad"/>
          <w:rFonts w:ascii="楷体" w:eastAsia="楷体" w:hAnsi="楷体" w:hint="eastAsia"/>
          <w:b w:val="0"/>
          <w:bCs w:val="0"/>
          <w:spacing w:val="-4"/>
          <w:sz w:val="32"/>
          <w:szCs w:val="32"/>
        </w:rPr>
        <w:br/>
        <w:t>1.生态效益完成情况分析</w:t>
      </w:r>
      <w:r>
        <w:rPr>
          <w:rStyle w:val="ad"/>
          <w:rFonts w:ascii="楷体" w:eastAsia="楷体" w:hAnsi="楷体" w:hint="eastAsia"/>
          <w:b w:val="0"/>
          <w:bCs w:val="0"/>
          <w:spacing w:val="-4"/>
          <w:sz w:val="32"/>
          <w:szCs w:val="32"/>
        </w:rPr>
        <w:br/>
        <w:t>“生态可持续发展”指标：预期指标值为“明显”，根据“情况小结”可证，实际完成指标值为“基本达成目标”，指标完成率为100.00%。</w:t>
      </w:r>
      <w:r>
        <w:rPr>
          <w:rStyle w:val="ad"/>
          <w:rFonts w:ascii="楷体" w:eastAsia="楷体" w:hAnsi="楷体" w:hint="eastAsia"/>
          <w:b w:val="0"/>
          <w:bCs w:val="0"/>
          <w:spacing w:val="-4"/>
          <w:sz w:val="32"/>
          <w:szCs w:val="32"/>
        </w:rPr>
        <w:br/>
        <w:t>综上所述，本指标满分为20.00分，根据评分标准得20.00分。</w:t>
      </w:r>
    </w:p>
    <w:p w14:paraId="7BE4EC68"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w:t>
      </w:r>
      <w:proofErr w:type="gramStart"/>
      <w:r>
        <w:rPr>
          <w:rStyle w:val="ad"/>
          <w:rFonts w:ascii="楷体" w:eastAsia="楷体" w:hAnsi="楷体" w:hint="eastAsia"/>
          <w:b w:val="0"/>
          <w:bCs w:val="0"/>
          <w:spacing w:val="-4"/>
          <w:sz w:val="32"/>
          <w:szCs w:val="32"/>
        </w:rPr>
        <w:t>满意度类指标</w:t>
      </w:r>
      <w:proofErr w:type="gramEnd"/>
      <w:r>
        <w:rPr>
          <w:rStyle w:val="ad"/>
          <w:rFonts w:ascii="楷体" w:eastAsia="楷体" w:hAnsi="楷体" w:hint="eastAsia"/>
          <w:b w:val="0"/>
          <w:bCs w:val="0"/>
          <w:spacing w:val="-4"/>
          <w:sz w:val="32"/>
          <w:szCs w:val="32"/>
        </w:rPr>
        <w:t>由1个二级指标和1个三级指标构成，权重分10.00分，实际得分10.00分。</w:t>
      </w:r>
      <w:r>
        <w:rPr>
          <w:rStyle w:val="ad"/>
          <w:rFonts w:ascii="楷体" w:eastAsia="楷体" w:hAnsi="楷体" w:hint="eastAsia"/>
          <w:b w:val="0"/>
          <w:bCs w:val="0"/>
          <w:spacing w:val="-4"/>
          <w:sz w:val="32"/>
          <w:szCs w:val="32"/>
        </w:rPr>
        <w:br/>
        <w:t>1.满意度完成情况分析</w:t>
      </w:r>
      <w:r>
        <w:rPr>
          <w:rStyle w:val="ad"/>
          <w:rFonts w:ascii="楷体" w:eastAsia="楷体" w:hAnsi="楷体" w:hint="eastAsia"/>
          <w:b w:val="0"/>
          <w:bCs w:val="0"/>
          <w:spacing w:val="-4"/>
          <w:sz w:val="32"/>
          <w:szCs w:val="32"/>
        </w:rPr>
        <w:br/>
        <w:t>“牧民满意度”指标：预期指标值为“≥90%”，根据“情况小结”可证，实际完成指标值为“=90%”，指标完成率为100.00%。</w:t>
      </w:r>
      <w:r>
        <w:rPr>
          <w:rStyle w:val="ad"/>
          <w:rFonts w:ascii="楷体" w:eastAsia="楷体" w:hAnsi="楷体" w:hint="eastAsia"/>
          <w:b w:val="0"/>
          <w:bCs w:val="0"/>
          <w:spacing w:val="-4"/>
          <w:sz w:val="32"/>
          <w:szCs w:val="32"/>
        </w:rPr>
        <w:br/>
        <w:t>综上所述，本指标满分为10.00分，根据评分标准得10.00分。</w:t>
      </w:r>
    </w:p>
    <w:p w14:paraId="184E482C" w14:textId="77777777" w:rsidR="00F461CC" w:rsidRDefault="00F461CC">
      <w:pPr>
        <w:spacing w:line="540" w:lineRule="exact"/>
        <w:ind w:firstLine="567"/>
        <w:rPr>
          <w:rStyle w:val="ad"/>
          <w:rFonts w:ascii="楷体" w:eastAsia="楷体" w:hAnsi="楷体" w:hint="eastAsia"/>
          <w:b w:val="0"/>
          <w:bCs w:val="0"/>
          <w:spacing w:val="-4"/>
          <w:sz w:val="32"/>
          <w:szCs w:val="32"/>
        </w:rPr>
      </w:pPr>
    </w:p>
    <w:p w14:paraId="0E33732A" w14:textId="77777777" w:rsidR="00F461CC" w:rsidRDefault="00F461CC">
      <w:pPr>
        <w:spacing w:line="540" w:lineRule="exact"/>
        <w:ind w:firstLine="567"/>
        <w:rPr>
          <w:rStyle w:val="ad"/>
          <w:rFonts w:ascii="楷体" w:eastAsia="楷体" w:hAnsi="楷体" w:hint="eastAsia"/>
          <w:spacing w:val="-4"/>
          <w:sz w:val="32"/>
          <w:szCs w:val="32"/>
        </w:rPr>
      </w:pPr>
    </w:p>
    <w:p w14:paraId="66D5C80E" w14:textId="77777777" w:rsidR="00F461CC" w:rsidRDefault="00000000">
      <w:pPr>
        <w:numPr>
          <w:ilvl w:val="0"/>
          <w:numId w:val="1"/>
        </w:num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主要经验及做法、存在的问题及原因分析</w:t>
      </w:r>
    </w:p>
    <w:p w14:paraId="3268AAF6" w14:textId="77777777" w:rsidR="00F461CC"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在项目组织方面，一是强化领导与明确职责，在政府统一安排下，草原站全面落实工作要求，会同财政局等部门统筹协调，草原站负责指导、协调和监督补助发放，财政局负责资金使用检查监督，确保此项工作有序开展。二是广泛政策宣传，</w:t>
      </w:r>
      <w:proofErr w:type="gramStart"/>
      <w:r>
        <w:rPr>
          <w:rStyle w:val="ad"/>
          <w:rFonts w:ascii="楷体" w:eastAsia="楷体" w:hAnsi="楷体" w:hint="eastAsia"/>
          <w:b w:val="0"/>
          <w:bCs w:val="0"/>
          <w:spacing w:val="-4"/>
          <w:sz w:val="32"/>
          <w:szCs w:val="32"/>
        </w:rPr>
        <w:t>阿什里乡政府</w:t>
      </w:r>
      <w:proofErr w:type="gramEnd"/>
      <w:r>
        <w:rPr>
          <w:rStyle w:val="ad"/>
          <w:rFonts w:ascii="楷体" w:eastAsia="楷体" w:hAnsi="楷体" w:hint="eastAsia"/>
          <w:b w:val="0"/>
          <w:bCs w:val="0"/>
          <w:spacing w:val="-4"/>
          <w:sz w:val="32"/>
          <w:szCs w:val="32"/>
        </w:rPr>
        <w:t>通过线下宣传，让牧民清楚草场补偿标准、申领流程等，提高牧民知晓率和参与度，为项目实施营造良好氛围。三是严格审核与公示，昌吉市阿什里乡二道水村在发放草场补偿费时，认真审核资料，</w:t>
      </w:r>
      <w:r>
        <w:rPr>
          <w:rStyle w:val="ad"/>
          <w:rFonts w:ascii="楷体" w:eastAsia="楷体" w:hAnsi="楷体" w:hint="eastAsia"/>
          <w:b w:val="0"/>
          <w:bCs w:val="0"/>
          <w:spacing w:val="-4"/>
          <w:sz w:val="32"/>
          <w:szCs w:val="32"/>
        </w:rPr>
        <w:lastRenderedPageBreak/>
        <w:t>并进行为期一周的公开公示，确保公平、公开、公正，保障牧民合法权益。四是确保专款专用，阿什里乡二道水村征占草场补偿费实行财政国库集中支付制，严格执行财务制度，经费支出需经手人、证明人、负责领导审批，财务人员审核后集中支付，保证资金专款专用，安全高效。</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1.补偿面积认定争议大。表现：牧民与政府或建设单位在草场实际被征用面积的认定上常常出现分歧。一些地方在测量草场面积时，导致测量结果与牧民实际认知面积不符。原因是草场边界划分时界限就不清晰，缺乏准确的登记资料。测量技术和手段的局限性，难以满足复杂地形和大面积草场测量的高精度要求。</w:t>
      </w:r>
      <w:r>
        <w:rPr>
          <w:rStyle w:val="ad"/>
          <w:rFonts w:ascii="楷体" w:eastAsia="楷体" w:hAnsi="楷体" w:hint="eastAsia"/>
          <w:b w:val="0"/>
          <w:bCs w:val="0"/>
          <w:spacing w:val="-4"/>
          <w:sz w:val="32"/>
          <w:szCs w:val="32"/>
        </w:rPr>
        <w:br/>
        <w:t>2.补偿形式单一。表现：目前主要以货币补偿为主，缺乏多元化补偿方式。对于一些失去大量草场的牧民，单纯的货币补偿难以保障其长远生计，且牧民可能因缺乏理财规划，将补偿款短期花完后陷入生活困境。原因是政策制定者对多元化补偿方式的探索和推广不足，相关部门和建设单位缺乏创新意识，对其他补偿方式的实施难度和潜在风险才在顾虑，担心操作复杂引发更多矛盾。</w:t>
      </w:r>
    </w:p>
    <w:p w14:paraId="74736C17" w14:textId="77777777" w:rsidR="00F461C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0B06AE90" w14:textId="77777777" w:rsidR="00F461C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1.精准认定补偿面积：运用高精度卫星遥感、无人机测绘等先进技术手段，多草场面积进行精准测量。针对历史遗留问题的草场边界不清问题，可结合当地草原承包经营档案、牧民回忆及相邻草场牧民证言等，重新勘定边界，明确权属，做好登记备案。</w:t>
      </w:r>
      <w:r>
        <w:rPr>
          <w:rStyle w:val="ad"/>
          <w:rFonts w:ascii="楷体" w:eastAsia="楷体" w:hAnsi="楷体" w:hint="eastAsia"/>
          <w:b w:val="0"/>
          <w:bCs w:val="0"/>
          <w:spacing w:val="-4"/>
          <w:sz w:val="32"/>
          <w:szCs w:val="32"/>
        </w:rPr>
        <w:br/>
        <w:t>2.丰富补偿方式：除货币补偿外，增加产业扶持补偿，如设立舍饲圈养设施建设补贴，推动形成与草原生态保护相适应的畜牧业生产方式。还可提供就业培训与安置补偿，针对因草场被征占而</w:t>
      </w:r>
      <w:r>
        <w:rPr>
          <w:rStyle w:val="ad"/>
          <w:rFonts w:ascii="楷体" w:eastAsia="楷体" w:hAnsi="楷体" w:hint="eastAsia"/>
          <w:b w:val="0"/>
          <w:bCs w:val="0"/>
          <w:spacing w:val="-4"/>
          <w:sz w:val="32"/>
          <w:szCs w:val="32"/>
        </w:rPr>
        <w:lastRenderedPageBreak/>
        <w:t>闲置的牧民劳动力，开展畜牧养殖技术升级、草原生态保护等相关培训，推荐到当地生态保护项目、畜牧企业就业。</w:t>
      </w:r>
    </w:p>
    <w:p w14:paraId="1A6375B3" w14:textId="77777777" w:rsidR="00F461C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74A70E05" w14:textId="77777777" w:rsidR="00F461C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（二）评价结果作为安排政府预算、完善政策和改进管理的重要依据。原则上，对评价等级为优、良的，根据情况予以支持；对评价等级为中、差的，要完善政策、改进管理，根据情况核减预算。</w:t>
      </w:r>
      <w:r>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Pr>
          <w:rStyle w:val="ad"/>
          <w:rFonts w:ascii="楷体" w:eastAsia="楷体" w:hAnsi="楷体" w:hint="eastAsia"/>
          <w:b w:val="0"/>
          <w:bCs w:val="0"/>
          <w:spacing w:val="-4"/>
          <w:sz w:val="32"/>
          <w:szCs w:val="32"/>
        </w:rPr>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ad"/>
          <w:rFonts w:ascii="楷体" w:eastAsia="楷体" w:hAnsi="楷体" w:hint="eastAsia"/>
          <w:b w:val="0"/>
          <w:bCs w:val="0"/>
          <w:spacing w:val="-4"/>
          <w:sz w:val="32"/>
          <w:szCs w:val="32"/>
        </w:rPr>
        <w:b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7D1C649" w14:textId="77777777" w:rsidR="00F461CC" w:rsidRDefault="00F461CC">
      <w:pPr>
        <w:spacing w:line="540" w:lineRule="exact"/>
        <w:ind w:firstLine="567"/>
        <w:rPr>
          <w:rStyle w:val="ad"/>
          <w:rFonts w:ascii="仿宋" w:eastAsia="仿宋" w:hAnsi="仿宋" w:hint="eastAsia"/>
          <w:b w:val="0"/>
          <w:spacing w:val="-4"/>
          <w:sz w:val="32"/>
          <w:szCs w:val="32"/>
        </w:rPr>
      </w:pPr>
    </w:p>
    <w:p w14:paraId="55B0AAB8" w14:textId="77777777" w:rsidR="00F461CC" w:rsidRDefault="00F461CC">
      <w:pPr>
        <w:spacing w:line="540" w:lineRule="exact"/>
        <w:ind w:firstLine="567"/>
        <w:rPr>
          <w:rStyle w:val="ad"/>
          <w:rFonts w:ascii="仿宋" w:eastAsia="仿宋" w:hAnsi="仿宋" w:hint="eastAsia"/>
          <w:b w:val="0"/>
          <w:spacing w:val="-4"/>
          <w:sz w:val="32"/>
          <w:szCs w:val="32"/>
        </w:rPr>
      </w:pPr>
    </w:p>
    <w:p w14:paraId="75924AA1" w14:textId="77777777" w:rsidR="00F461CC" w:rsidRDefault="00F461CC">
      <w:pPr>
        <w:spacing w:line="540" w:lineRule="exact"/>
        <w:ind w:firstLine="567"/>
        <w:rPr>
          <w:rStyle w:val="ad"/>
          <w:rFonts w:ascii="仿宋" w:eastAsia="仿宋" w:hAnsi="仿宋" w:hint="eastAsia"/>
          <w:b w:val="0"/>
          <w:spacing w:val="-4"/>
          <w:sz w:val="32"/>
          <w:szCs w:val="32"/>
        </w:rPr>
      </w:pPr>
    </w:p>
    <w:p w14:paraId="0845F103" w14:textId="77777777" w:rsidR="00F461CC" w:rsidRDefault="00F461CC">
      <w:pPr>
        <w:spacing w:line="540" w:lineRule="exact"/>
        <w:ind w:firstLine="567"/>
        <w:rPr>
          <w:rStyle w:val="ad"/>
          <w:rFonts w:ascii="仿宋" w:eastAsia="仿宋" w:hAnsi="仿宋" w:hint="eastAsia"/>
          <w:b w:val="0"/>
          <w:spacing w:val="-4"/>
          <w:sz w:val="32"/>
          <w:szCs w:val="32"/>
        </w:rPr>
      </w:pPr>
    </w:p>
    <w:p w14:paraId="7E3BB091" w14:textId="77777777" w:rsidR="00F461CC" w:rsidRDefault="00F461CC">
      <w:pPr>
        <w:spacing w:line="540" w:lineRule="exact"/>
        <w:ind w:firstLine="567"/>
        <w:rPr>
          <w:rStyle w:val="ad"/>
          <w:rFonts w:ascii="仿宋" w:eastAsia="仿宋" w:hAnsi="仿宋" w:hint="eastAsia"/>
          <w:b w:val="0"/>
          <w:spacing w:val="-4"/>
          <w:sz w:val="32"/>
          <w:szCs w:val="32"/>
        </w:rPr>
      </w:pPr>
    </w:p>
    <w:sectPr w:rsidR="00F461C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914AF" w14:textId="77777777" w:rsidR="007A3303" w:rsidRDefault="007A3303">
      <w:r>
        <w:separator/>
      </w:r>
    </w:p>
  </w:endnote>
  <w:endnote w:type="continuationSeparator" w:id="0">
    <w:p w14:paraId="2A2D218C" w14:textId="77777777" w:rsidR="007A3303" w:rsidRDefault="007A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4567C875" w14:textId="77777777" w:rsidR="00F461CC" w:rsidRDefault="00000000">
        <w:pPr>
          <w:pStyle w:val="a5"/>
          <w:jc w:val="center"/>
        </w:pPr>
        <w:r>
          <w:fldChar w:fldCharType="begin"/>
        </w:r>
        <w:r>
          <w:instrText>PAGE   \* MERGEFORMAT</w:instrText>
        </w:r>
        <w:r>
          <w:fldChar w:fldCharType="separate"/>
        </w:r>
        <w:r>
          <w:rPr>
            <w:lang w:val="zh-CN"/>
          </w:rPr>
          <w:t>2</w:t>
        </w:r>
        <w:r>
          <w:fldChar w:fldCharType="end"/>
        </w:r>
      </w:p>
    </w:sdtContent>
  </w:sdt>
  <w:p w14:paraId="3982185B" w14:textId="77777777" w:rsidR="00F461CC" w:rsidRDefault="00F461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688D" w14:textId="77777777" w:rsidR="007A3303" w:rsidRDefault="007A3303">
      <w:r>
        <w:separator/>
      </w:r>
    </w:p>
  </w:footnote>
  <w:footnote w:type="continuationSeparator" w:id="0">
    <w:p w14:paraId="44DB33D8" w14:textId="77777777" w:rsidR="007A3303" w:rsidRDefault="007A3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485901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761B74"/>
    <w:rsid w:val="007A3303"/>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EC1A65"/>
    <w:rsid w:val="00F32FEE"/>
    <w:rsid w:val="00F461CC"/>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451C3"/>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7224</Words>
  <Characters>7731</Characters>
  <Application>Microsoft Office Word</Application>
  <DocSecurity>0</DocSecurity>
  <Lines>351</Lines>
  <Paragraphs>38</Paragraphs>
  <ScaleCrop>false</ScaleCrop>
  <Company/>
  <LinksUpToDate>false</LinksUpToDate>
  <CharactersWithSpaces>14917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2025-10-10T07:51:00Z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