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C650A">
      <w:pPr>
        <w:widowControl/>
        <w:jc w:val="left"/>
        <w:rPr>
          <w:rFonts w:ascii="宋体" w:eastAsia="宋体"/>
          <w:sz w:val="32"/>
          <w:szCs w:val="32"/>
        </w:rPr>
      </w:pPr>
    </w:p>
    <w:p w14:paraId="1D167BF6">
      <w:pPr>
        <w:widowControl/>
        <w:jc w:val="left"/>
        <w:rPr>
          <w:rFonts w:ascii="宋体" w:eastAsia="宋体"/>
          <w:sz w:val="44"/>
          <w:szCs w:val="44"/>
        </w:rPr>
      </w:pPr>
    </w:p>
    <w:p w14:paraId="05FA2DA2">
      <w:pPr>
        <w:widowControl/>
        <w:jc w:val="left"/>
        <w:rPr>
          <w:rFonts w:ascii="宋体" w:eastAsia="宋体"/>
          <w:sz w:val="44"/>
          <w:szCs w:val="44"/>
        </w:rPr>
      </w:pPr>
    </w:p>
    <w:p w14:paraId="3AA4C368">
      <w:pPr>
        <w:widowControl/>
        <w:jc w:val="left"/>
        <w:rPr>
          <w:rFonts w:ascii="宋体" w:eastAsia="宋体"/>
          <w:sz w:val="44"/>
          <w:szCs w:val="44"/>
        </w:rPr>
      </w:pPr>
    </w:p>
    <w:p w14:paraId="76B8A3D3">
      <w:pPr>
        <w:widowControl/>
        <w:jc w:val="center"/>
        <w:outlineLvl w:val="0"/>
        <w:rPr>
          <w:rFonts w:ascii="宋体" w:eastAsia="黑体"/>
          <w:sz w:val="44"/>
          <w:szCs w:val="44"/>
        </w:rPr>
      </w:pPr>
      <w:r>
        <w:rPr>
          <w:rFonts w:ascii="宋体" w:eastAsia="黑体"/>
          <w:sz w:val="44"/>
          <w:szCs w:val="44"/>
        </w:rPr>
        <w:t>昌吉市第七幼儿园</w:t>
      </w:r>
    </w:p>
    <w:p w14:paraId="639485D6">
      <w:pPr>
        <w:widowControl/>
        <w:jc w:val="center"/>
        <w:outlineLvl w:val="0"/>
        <w:rPr>
          <w:rFonts w:ascii="黑体" w:eastAsia="黑体"/>
          <w:sz w:val="44"/>
          <w:szCs w:val="44"/>
        </w:rPr>
      </w:pPr>
      <w:r>
        <w:rPr>
          <w:rFonts w:ascii="黑体" w:eastAsia="黑体"/>
          <w:sz w:val="44"/>
          <w:szCs w:val="44"/>
        </w:rPr>
        <w:t>2024年度部门决算公开说明</w:t>
      </w:r>
    </w:p>
    <w:p w14:paraId="673FC5AA">
      <w:pPr>
        <w:widowControl/>
      </w:pPr>
      <w:r>
        <w:rPr>
          <w:sz w:val="0"/>
          <w:szCs w:val="0"/>
        </w:rPr>
        <w:br w:type="page"/>
      </w:r>
    </w:p>
    <w:p w14:paraId="64F1A049">
      <w:pPr>
        <w:widowControl/>
        <w:jc w:val="center"/>
        <w:rPr>
          <w:rFonts w:ascii="黑体" w:eastAsia="黑体"/>
          <w:sz w:val="32"/>
          <w:szCs w:val="32"/>
        </w:rPr>
      </w:pPr>
      <w:r>
        <w:rPr>
          <w:rFonts w:ascii="黑体" w:eastAsia="黑体"/>
          <w:b/>
          <w:sz w:val="32"/>
          <w:szCs w:val="32"/>
        </w:rPr>
        <w:t>目  录</w:t>
      </w:r>
    </w:p>
    <w:p w14:paraId="69C2E353">
      <w:pPr>
        <w:widowControl/>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rPr>
        <w:t xml:space="preserve"> </w:t>
      </w:r>
      <w:r>
        <w:rPr>
          <w:rFonts w:ascii="仿宋_GB2312" w:eastAsia="仿宋_GB2312"/>
          <w:b/>
          <w:sz w:val="32"/>
          <w:szCs w:val="32"/>
        </w:rPr>
        <w:t>单位概况</w:t>
      </w:r>
    </w:p>
    <w:p w14:paraId="53431384">
      <w:pPr>
        <w:widowControl/>
        <w:jc w:val="left"/>
        <w:rPr>
          <w:rFonts w:ascii="仿宋_GB2312" w:eastAsia="仿宋_GB2312"/>
          <w:sz w:val="32"/>
          <w:szCs w:val="32"/>
        </w:rPr>
      </w:pPr>
      <w:r>
        <w:rPr>
          <w:rFonts w:ascii="仿宋_GB2312" w:eastAsia="仿宋_GB2312"/>
          <w:sz w:val="32"/>
          <w:szCs w:val="32"/>
        </w:rPr>
        <w:t>一、主要职能</w:t>
      </w:r>
    </w:p>
    <w:p w14:paraId="10C64F7D">
      <w:pPr>
        <w:widowControl/>
        <w:jc w:val="left"/>
        <w:rPr>
          <w:rFonts w:ascii="仿宋_GB2312" w:eastAsia="仿宋_GB2312"/>
          <w:sz w:val="32"/>
          <w:szCs w:val="32"/>
        </w:rPr>
      </w:pPr>
      <w:r>
        <w:rPr>
          <w:rFonts w:ascii="仿宋_GB2312" w:eastAsia="仿宋_GB2312"/>
          <w:sz w:val="32"/>
          <w:szCs w:val="32"/>
        </w:rPr>
        <w:t>二、机构设置及人员情况</w:t>
      </w:r>
    </w:p>
    <w:p w14:paraId="65D9A788">
      <w:pPr>
        <w:widowControl/>
        <w:jc w:val="left"/>
        <w:rPr>
          <w:rFonts w:ascii="仿宋_GB2312" w:eastAsia="仿宋_GB2312"/>
          <w:sz w:val="32"/>
          <w:szCs w:val="32"/>
        </w:rPr>
      </w:pPr>
      <w:r>
        <w:rPr>
          <w:rFonts w:ascii="仿宋_GB2312" w:eastAsia="仿宋_GB2312"/>
          <w:b/>
          <w:sz w:val="32"/>
          <w:szCs w:val="32"/>
        </w:rPr>
        <w:t>第二部分 部门决算情况说明</w:t>
      </w:r>
    </w:p>
    <w:p w14:paraId="671A6C20">
      <w:pPr>
        <w:widowControl/>
        <w:jc w:val="left"/>
        <w:rPr>
          <w:rFonts w:ascii="仿宋_GB2312" w:eastAsia="仿宋_GB2312"/>
          <w:sz w:val="32"/>
          <w:szCs w:val="32"/>
        </w:rPr>
      </w:pPr>
      <w:r>
        <w:rPr>
          <w:rFonts w:ascii="仿宋_GB2312" w:eastAsia="仿宋_GB2312"/>
          <w:sz w:val="32"/>
          <w:szCs w:val="32"/>
        </w:rPr>
        <w:t>一、收入支出决算总体情况说明</w:t>
      </w:r>
    </w:p>
    <w:p w14:paraId="3024072C">
      <w:pPr>
        <w:widowControl/>
        <w:jc w:val="left"/>
        <w:rPr>
          <w:rFonts w:ascii="仿宋_GB2312" w:eastAsia="仿宋_GB2312"/>
          <w:sz w:val="32"/>
          <w:szCs w:val="32"/>
        </w:rPr>
      </w:pPr>
      <w:r>
        <w:rPr>
          <w:rFonts w:ascii="仿宋_GB2312" w:eastAsia="仿宋_GB2312"/>
          <w:sz w:val="32"/>
          <w:szCs w:val="32"/>
        </w:rPr>
        <w:t>二、收入决算情况说明</w:t>
      </w:r>
    </w:p>
    <w:p w14:paraId="59DB6DCF">
      <w:pPr>
        <w:widowControl/>
        <w:jc w:val="left"/>
        <w:rPr>
          <w:rFonts w:ascii="仿宋_GB2312" w:eastAsia="仿宋_GB2312"/>
          <w:sz w:val="32"/>
          <w:szCs w:val="32"/>
        </w:rPr>
      </w:pPr>
      <w:r>
        <w:rPr>
          <w:rFonts w:ascii="仿宋_GB2312" w:eastAsia="仿宋_GB2312"/>
          <w:sz w:val="32"/>
          <w:szCs w:val="32"/>
        </w:rPr>
        <w:t>三、支出决算情况说明</w:t>
      </w:r>
    </w:p>
    <w:p w14:paraId="57BCFD0B">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2CF827DA">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29AEC8A4">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058D35E4">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95148D2">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5D4CCC0A">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07E0E213">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69567CC9">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3E353B16">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21B9847B">
      <w:pPr>
        <w:widowControl/>
        <w:jc w:val="left"/>
        <w:rPr>
          <w:rFonts w:ascii="仿宋_GB2312" w:eastAsia="仿宋_GB2312"/>
          <w:sz w:val="32"/>
          <w:szCs w:val="32"/>
        </w:rPr>
      </w:pPr>
      <w:r>
        <w:rPr>
          <w:rFonts w:ascii="仿宋_GB2312" w:eastAsia="仿宋_GB2312"/>
          <w:sz w:val="32"/>
          <w:szCs w:val="32"/>
        </w:rPr>
        <w:t>十、其他重要事项的情况说明</w:t>
      </w:r>
    </w:p>
    <w:p w14:paraId="77C2C3A6">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6B745D3B">
      <w:pPr>
        <w:widowControl/>
        <w:jc w:val="left"/>
        <w:rPr>
          <w:rFonts w:ascii="仿宋_GB2312" w:eastAsia="仿宋_GB2312"/>
          <w:sz w:val="32"/>
          <w:szCs w:val="32"/>
        </w:rPr>
      </w:pPr>
      <w:r>
        <w:rPr>
          <w:rFonts w:ascii="仿宋_GB2312" w:eastAsia="仿宋_GB2312"/>
          <w:sz w:val="32"/>
          <w:szCs w:val="32"/>
        </w:rPr>
        <w:t>（二）政府采购情况</w:t>
      </w:r>
    </w:p>
    <w:p w14:paraId="47283D25">
      <w:pPr>
        <w:widowControl/>
        <w:jc w:val="left"/>
        <w:rPr>
          <w:rFonts w:ascii="仿宋_GB2312" w:eastAsia="仿宋_GB2312"/>
          <w:sz w:val="32"/>
          <w:szCs w:val="32"/>
        </w:rPr>
      </w:pPr>
      <w:r>
        <w:rPr>
          <w:rFonts w:ascii="仿宋_GB2312" w:eastAsia="仿宋_GB2312"/>
          <w:sz w:val="32"/>
          <w:szCs w:val="32"/>
        </w:rPr>
        <w:t>（三）国有资产占用情况说明</w:t>
      </w:r>
    </w:p>
    <w:p w14:paraId="42FE30F4">
      <w:pPr>
        <w:widowControl/>
        <w:jc w:val="left"/>
        <w:rPr>
          <w:rFonts w:ascii="仿宋_GB2312" w:eastAsia="仿宋_GB2312"/>
          <w:sz w:val="32"/>
          <w:szCs w:val="32"/>
        </w:rPr>
      </w:pPr>
      <w:r>
        <w:rPr>
          <w:rFonts w:ascii="仿宋_GB2312" w:eastAsia="仿宋_GB2312"/>
          <w:sz w:val="32"/>
          <w:szCs w:val="32"/>
        </w:rPr>
        <w:t>十一、预算绩效的情况说明</w:t>
      </w:r>
    </w:p>
    <w:p w14:paraId="54A69CCB">
      <w:pPr>
        <w:widowControl/>
        <w:jc w:val="left"/>
        <w:rPr>
          <w:rFonts w:ascii="仿宋_GB2312" w:eastAsia="仿宋_GB2312"/>
          <w:sz w:val="32"/>
          <w:szCs w:val="32"/>
        </w:rPr>
      </w:pPr>
      <w:r>
        <w:rPr>
          <w:rFonts w:ascii="仿宋_GB2312" w:eastAsia="仿宋_GB2312"/>
          <w:sz w:val="32"/>
          <w:szCs w:val="32"/>
        </w:rPr>
        <w:t>十二、其他需说明的事项</w:t>
      </w:r>
    </w:p>
    <w:p w14:paraId="6A3DF04D">
      <w:pPr>
        <w:widowControl/>
        <w:jc w:val="left"/>
        <w:rPr>
          <w:rFonts w:ascii="仿宋_GB2312" w:eastAsia="仿宋_GB2312"/>
          <w:sz w:val="32"/>
          <w:szCs w:val="32"/>
        </w:rPr>
      </w:pPr>
      <w:r>
        <w:rPr>
          <w:rFonts w:ascii="仿宋_GB2312" w:eastAsia="仿宋_GB2312"/>
          <w:b/>
          <w:sz w:val="32"/>
          <w:szCs w:val="32"/>
        </w:rPr>
        <w:t>第三部分 专业名词解释</w:t>
      </w:r>
    </w:p>
    <w:p w14:paraId="5A3AAD84">
      <w:pPr>
        <w:widowControl/>
        <w:jc w:val="left"/>
        <w:rPr>
          <w:rFonts w:ascii="仿宋_GB2312" w:eastAsia="仿宋_GB2312"/>
          <w:sz w:val="32"/>
          <w:szCs w:val="32"/>
        </w:rPr>
      </w:pPr>
      <w:r>
        <w:rPr>
          <w:rFonts w:ascii="仿宋_GB2312" w:eastAsia="仿宋_GB2312"/>
          <w:b/>
          <w:sz w:val="32"/>
          <w:szCs w:val="32"/>
        </w:rPr>
        <w:t>第四部分 部门决算报表（见附表）</w:t>
      </w:r>
    </w:p>
    <w:p w14:paraId="03A12ECE">
      <w:pPr>
        <w:widowControl/>
        <w:jc w:val="left"/>
        <w:rPr>
          <w:rFonts w:ascii="仿宋_GB2312" w:eastAsia="仿宋_GB2312"/>
          <w:sz w:val="32"/>
          <w:szCs w:val="32"/>
        </w:rPr>
      </w:pPr>
      <w:r>
        <w:rPr>
          <w:rFonts w:ascii="仿宋_GB2312" w:eastAsia="仿宋_GB2312"/>
          <w:sz w:val="32"/>
          <w:szCs w:val="32"/>
        </w:rPr>
        <w:t>一、《收入支出决算总表》</w:t>
      </w:r>
    </w:p>
    <w:p w14:paraId="49244B87">
      <w:pPr>
        <w:widowControl/>
        <w:jc w:val="left"/>
        <w:rPr>
          <w:rFonts w:ascii="仿宋_GB2312" w:eastAsia="仿宋_GB2312"/>
          <w:sz w:val="32"/>
          <w:szCs w:val="32"/>
        </w:rPr>
      </w:pPr>
      <w:r>
        <w:rPr>
          <w:rFonts w:ascii="仿宋_GB2312" w:eastAsia="仿宋_GB2312"/>
          <w:sz w:val="32"/>
          <w:szCs w:val="32"/>
        </w:rPr>
        <w:t>二、《收入决算表》</w:t>
      </w:r>
    </w:p>
    <w:p w14:paraId="18772DBB">
      <w:pPr>
        <w:widowControl/>
        <w:jc w:val="left"/>
        <w:rPr>
          <w:rFonts w:ascii="仿宋_GB2312" w:eastAsia="仿宋_GB2312"/>
          <w:sz w:val="32"/>
          <w:szCs w:val="32"/>
        </w:rPr>
      </w:pPr>
      <w:r>
        <w:rPr>
          <w:rFonts w:ascii="仿宋_GB2312" w:eastAsia="仿宋_GB2312"/>
          <w:sz w:val="32"/>
          <w:szCs w:val="32"/>
        </w:rPr>
        <w:t>三、《支出决算表》</w:t>
      </w:r>
    </w:p>
    <w:p w14:paraId="3013270A">
      <w:pPr>
        <w:widowControl/>
        <w:jc w:val="left"/>
        <w:rPr>
          <w:rFonts w:ascii="仿宋_GB2312" w:eastAsia="仿宋_GB2312"/>
          <w:sz w:val="32"/>
          <w:szCs w:val="32"/>
        </w:rPr>
      </w:pPr>
      <w:r>
        <w:rPr>
          <w:rFonts w:ascii="仿宋_GB2312" w:eastAsia="仿宋_GB2312"/>
          <w:sz w:val="32"/>
          <w:szCs w:val="32"/>
        </w:rPr>
        <w:t>四、《财政拨款收入支出决算总表》</w:t>
      </w:r>
    </w:p>
    <w:p w14:paraId="37A9A9B7">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712D6DCD">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2E2CA605">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4C2993DC">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267AB038">
      <w:pPr>
        <w:widowControl/>
        <w:jc w:val="left"/>
        <w:rPr>
          <w:rFonts w:ascii="仿宋_GB2312" w:eastAsia="仿宋_GB2312"/>
          <w:sz w:val="32"/>
          <w:szCs w:val="32"/>
        </w:rPr>
      </w:pPr>
      <w:r>
        <w:rPr>
          <w:rFonts w:ascii="仿宋_GB2312" w:eastAsia="仿宋_GB2312"/>
          <w:sz w:val="32"/>
          <w:szCs w:val="32"/>
        </w:rPr>
        <w:t>九、《财政拨款“三公”经费支出决算表》</w:t>
      </w:r>
    </w:p>
    <w:p w14:paraId="02AD4D4D">
      <w:pPr>
        <w:widowControl/>
      </w:pPr>
      <w:r>
        <w:rPr>
          <w:sz w:val="0"/>
          <w:szCs w:val="0"/>
        </w:rPr>
        <w:br w:type="page"/>
      </w:r>
    </w:p>
    <w:p w14:paraId="6DD59D30">
      <w:pPr>
        <w:widowControl/>
        <w:jc w:val="center"/>
        <w:outlineLvl w:val="0"/>
        <w:rPr>
          <w:rFonts w:ascii="黑体" w:eastAsia="黑体"/>
          <w:sz w:val="32"/>
          <w:szCs w:val="32"/>
        </w:rPr>
      </w:pPr>
      <w:r>
        <w:rPr>
          <w:rFonts w:ascii="黑体" w:eastAsia="黑体"/>
          <w:sz w:val="32"/>
          <w:szCs w:val="32"/>
        </w:rPr>
        <w:t>第一部分 单位概况</w:t>
      </w:r>
    </w:p>
    <w:p w14:paraId="6A46233E">
      <w:pPr>
        <w:widowControl/>
        <w:ind w:firstLine="640" w:firstLineChars="200"/>
        <w:jc w:val="left"/>
        <w:outlineLvl w:val="1"/>
        <w:rPr>
          <w:rFonts w:ascii="黑体" w:eastAsia="黑体"/>
          <w:sz w:val="32"/>
          <w:szCs w:val="32"/>
        </w:rPr>
      </w:pPr>
      <w:r>
        <w:rPr>
          <w:rFonts w:ascii="黑体" w:eastAsia="黑体"/>
          <w:sz w:val="32"/>
          <w:szCs w:val="32"/>
        </w:rPr>
        <w:t>一、主要职能</w:t>
      </w:r>
    </w:p>
    <w:p w14:paraId="0CB6A59F">
      <w:pPr>
        <w:widowControl/>
        <w:ind w:firstLine="640" w:firstLineChars="200"/>
        <w:rPr>
          <w:rFonts w:ascii="仿宋_GB2312" w:eastAsia="仿宋_GB2312"/>
          <w:sz w:val="32"/>
          <w:szCs w:val="32"/>
        </w:rPr>
      </w:pPr>
      <w:r>
        <w:rPr>
          <w:rFonts w:ascii="仿宋_GB2312" w:eastAsia="仿宋_GB2312"/>
          <w:sz w:val="32"/>
          <w:szCs w:val="32"/>
        </w:rPr>
        <w:t>我单位主要职能是负责贯彻执行国家对幼儿保育和教育的路线、方针、政策，为学龄前儿童提供保育和教育服务。本着保育和教育相结合的原则,对幼儿实施德、智、体、美全面发展的教育,促进其身心和谐健康发展。</w:t>
      </w:r>
    </w:p>
    <w:p w14:paraId="1AABBD69">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14:paraId="55C695E4">
      <w:pPr>
        <w:widowControl/>
        <w:ind w:firstLine="640" w:firstLineChars="200"/>
        <w:rPr>
          <w:rFonts w:ascii="仿宋_GB2312" w:eastAsia="仿宋_GB2312"/>
          <w:sz w:val="32"/>
          <w:szCs w:val="32"/>
        </w:rPr>
      </w:pPr>
      <w:r>
        <w:rPr>
          <w:rFonts w:ascii="仿宋_GB2312" w:eastAsia="仿宋_GB2312"/>
          <w:sz w:val="32"/>
          <w:szCs w:val="32"/>
        </w:rPr>
        <w:t>昌吉市第七幼儿园2024年度，实有人数26人，其中：在职人员26人，减少24人；离休人员0人，较上年无变化；退休人员0人，较上年无变化</w:t>
      </w:r>
      <w:r>
        <w:rPr>
          <w:rFonts w:hint="eastAsia" w:ascii="仿宋_GB2312" w:eastAsia="仿宋_GB2312"/>
          <w:sz w:val="32"/>
          <w:szCs w:val="32"/>
        </w:rPr>
        <w:t>。</w:t>
      </w:r>
    </w:p>
    <w:p w14:paraId="2784D34A">
      <w:pPr>
        <w:widowControl/>
        <w:ind w:firstLine="640" w:firstLineChars="200"/>
        <w:rPr>
          <w:rFonts w:ascii="仿宋_GB2312" w:eastAsia="仿宋_GB2312"/>
          <w:sz w:val="32"/>
          <w:szCs w:val="32"/>
        </w:rPr>
      </w:pPr>
      <w:r>
        <w:rPr>
          <w:rFonts w:ascii="仿宋_GB2312" w:eastAsia="仿宋_GB2312"/>
          <w:sz w:val="32"/>
          <w:szCs w:val="32"/>
        </w:rPr>
        <w:t>昌吉市第七幼儿园无下属预算单位，下设3个</w:t>
      </w:r>
      <w:r>
        <w:rPr>
          <w:rFonts w:hint="eastAsia" w:ascii="仿宋_GB2312" w:eastAsia="仿宋_GB2312"/>
          <w:sz w:val="32"/>
          <w:szCs w:val="32"/>
        </w:rPr>
        <w:t>科</w:t>
      </w:r>
      <w:r>
        <w:rPr>
          <w:rFonts w:ascii="仿宋_GB2312" w:eastAsia="仿宋_GB2312"/>
          <w:sz w:val="32"/>
          <w:szCs w:val="32"/>
        </w:rPr>
        <w:t>室，分别是：教研室、总务处、保教处。</w:t>
      </w:r>
    </w:p>
    <w:p w14:paraId="0330FAE8">
      <w:pPr>
        <w:widowControl/>
      </w:pPr>
      <w:r>
        <w:rPr>
          <w:sz w:val="0"/>
          <w:szCs w:val="0"/>
        </w:rPr>
        <w:br w:type="page"/>
      </w:r>
    </w:p>
    <w:p w14:paraId="7EECF139">
      <w:pPr>
        <w:widowControl/>
        <w:jc w:val="center"/>
        <w:outlineLvl w:val="0"/>
        <w:rPr>
          <w:rFonts w:ascii="黑体" w:eastAsia="黑体"/>
          <w:sz w:val="32"/>
          <w:szCs w:val="32"/>
        </w:rPr>
      </w:pPr>
      <w:r>
        <w:rPr>
          <w:rFonts w:ascii="黑体" w:eastAsia="黑体"/>
          <w:sz w:val="32"/>
          <w:szCs w:val="32"/>
        </w:rPr>
        <w:t>第二部分 部门决算情况说明</w:t>
      </w:r>
    </w:p>
    <w:p w14:paraId="72BE13CD">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0FFA9989">
      <w:pPr>
        <w:widowControl/>
        <w:ind w:firstLine="640" w:firstLineChars="200"/>
        <w:rPr>
          <w:rFonts w:ascii="仿宋_GB2312" w:eastAsia="仿宋_GB2312"/>
          <w:sz w:val="32"/>
          <w:szCs w:val="32"/>
        </w:rPr>
      </w:pPr>
      <w:r>
        <w:rPr>
          <w:rFonts w:ascii="仿宋_GB2312" w:eastAsia="仿宋_GB2312"/>
          <w:sz w:val="32"/>
          <w:szCs w:val="32"/>
        </w:rPr>
        <w:t>2024年度收入总计848.41万元，其中：本年收入合计820.61万元，使用非财政拨款结余（含专用结余）0.00万元，年初结转和结余27.80万元。</w:t>
      </w:r>
    </w:p>
    <w:p w14:paraId="43108CFE">
      <w:pPr>
        <w:widowControl/>
        <w:ind w:firstLine="640" w:firstLineChars="200"/>
        <w:rPr>
          <w:rFonts w:ascii="仿宋_GB2312" w:eastAsia="仿宋_GB2312"/>
          <w:sz w:val="32"/>
          <w:szCs w:val="32"/>
        </w:rPr>
      </w:pPr>
      <w:r>
        <w:rPr>
          <w:rFonts w:ascii="仿宋_GB2312" w:eastAsia="仿宋_GB2312"/>
          <w:sz w:val="32"/>
          <w:szCs w:val="32"/>
        </w:rPr>
        <w:t>2024年度支出总计848.41万元，其中：本年支出合计838.12万元，结余分配0.00万元，年末结转和结余10.29万元。</w:t>
      </w:r>
    </w:p>
    <w:p w14:paraId="0D49F795">
      <w:pPr>
        <w:widowControl/>
        <w:ind w:firstLine="640" w:firstLineChars="200"/>
        <w:rPr>
          <w:rFonts w:ascii="仿宋_GB2312" w:eastAsia="仿宋_GB2312"/>
          <w:sz w:val="32"/>
          <w:szCs w:val="32"/>
        </w:rPr>
      </w:pPr>
      <w:r>
        <w:rPr>
          <w:rFonts w:ascii="仿宋_GB2312" w:eastAsia="仿宋_GB2312"/>
          <w:sz w:val="32"/>
          <w:szCs w:val="32"/>
        </w:rPr>
        <w:t>收入支出总体与上年相比，减少591.36万元，下降41.07%，主要原因是：单位本年下属两个分园三幼和十二幼独立划分出去</w:t>
      </w:r>
      <w:r>
        <w:rPr>
          <w:rFonts w:hint="eastAsia" w:ascii="仿宋_GB2312" w:eastAsia="仿宋_GB2312"/>
          <w:sz w:val="32"/>
          <w:szCs w:val="32"/>
        </w:rPr>
        <w:t>，经费减少</w:t>
      </w:r>
      <w:r>
        <w:rPr>
          <w:rFonts w:ascii="仿宋_GB2312" w:eastAsia="仿宋_GB2312"/>
          <w:sz w:val="32"/>
          <w:szCs w:val="32"/>
        </w:rPr>
        <w:t>。</w:t>
      </w:r>
    </w:p>
    <w:p w14:paraId="399C7FDF">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17734DD9">
      <w:pPr>
        <w:widowControl/>
        <w:ind w:firstLine="640" w:firstLineChars="200"/>
        <w:rPr>
          <w:rFonts w:ascii="仿宋_GB2312" w:eastAsia="仿宋_GB2312"/>
          <w:sz w:val="32"/>
          <w:szCs w:val="32"/>
        </w:rPr>
      </w:pPr>
      <w:r>
        <w:rPr>
          <w:rFonts w:ascii="仿宋_GB2312" w:eastAsia="仿宋_GB2312"/>
          <w:sz w:val="32"/>
          <w:szCs w:val="32"/>
        </w:rPr>
        <w:t>本年收入820.61万元，其中：财政拨款收入820.61万元,占100.00%；上级补助收入0.00万元,占0.00%；事业收入0.00万元，占0.00%；经营收入0.00万元,占0.00%；附属单位上缴收入0.00万元，占0.00%；其他收入0.00万元，占0.00%。</w:t>
      </w:r>
    </w:p>
    <w:p w14:paraId="2D26962E">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03C42B85">
      <w:pPr>
        <w:widowControl/>
        <w:ind w:firstLine="640" w:firstLineChars="200"/>
        <w:rPr>
          <w:rFonts w:ascii="仿宋_GB2312" w:eastAsia="仿宋_GB2312"/>
          <w:sz w:val="32"/>
          <w:szCs w:val="32"/>
        </w:rPr>
      </w:pPr>
      <w:r>
        <w:rPr>
          <w:rFonts w:ascii="仿宋_GB2312" w:eastAsia="仿宋_GB2312"/>
          <w:sz w:val="32"/>
          <w:szCs w:val="32"/>
        </w:rPr>
        <w:t>本年支出838.12万元，其中：基本支出727.93万元，占86.85%；项目支出110.19万元，占13.15%；上缴上级支出0.00万元，占0.00%；经营支出0.00万元，占0.00%；对附属单位补助支出0.00万元，占0.00%。</w:t>
      </w:r>
    </w:p>
    <w:p w14:paraId="1689FF24">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3F3866A5">
      <w:pPr>
        <w:widowControl/>
        <w:ind w:firstLine="640" w:firstLineChars="200"/>
        <w:rPr>
          <w:rFonts w:ascii="仿宋_GB2312" w:eastAsia="仿宋_GB2312"/>
          <w:sz w:val="32"/>
          <w:szCs w:val="32"/>
        </w:rPr>
      </w:pPr>
      <w:r>
        <w:rPr>
          <w:rFonts w:ascii="仿宋_GB2312" w:eastAsia="仿宋_GB2312"/>
          <w:sz w:val="32"/>
          <w:szCs w:val="32"/>
        </w:rPr>
        <w:t>2024年度财政拨款收入总计820.61万元，其中：年初财政拨款结转和结余0.00万元，本年财政拨款收入820.61万元。财政拨款支出总计820.61万元，其中：年末财政拨款结转和结余0.00万元，本年财政拨款支出820.61万元。</w:t>
      </w:r>
    </w:p>
    <w:p w14:paraId="7E028555">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财政拨款收入支出总体与上年相比，减少480.91万元，下降36.95%，主要原因是：单位本年下属两个分园三幼和十二幼独立划分出去</w:t>
      </w:r>
      <w:r>
        <w:rPr>
          <w:rFonts w:hint="eastAsia" w:ascii="仿宋_GB2312" w:eastAsia="仿宋_GB2312"/>
          <w:sz w:val="32"/>
          <w:szCs w:val="32"/>
        </w:rPr>
        <w:t>，经费减少</w:t>
      </w:r>
      <w:r>
        <w:rPr>
          <w:rFonts w:ascii="仿宋_GB2312" w:eastAsia="仿宋_GB2312"/>
          <w:sz w:val="32"/>
          <w:szCs w:val="32"/>
        </w:rPr>
        <w:t>。与年初预算相比，年初预算数638.17万元，决算数820.61万元，预决算差异率28.59%，主要原因是：年中追加中央财政支持学前教育发展资金项目经费、城镇幼儿园公用经费。</w:t>
      </w:r>
    </w:p>
    <w:p w14:paraId="23933BD1">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0B67C874">
      <w:pPr>
        <w:widowControl/>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14:paraId="0E47889C">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2024年度一般公共预算财政拨款支出820.61万元，占本年支出合计的97.91%。与上年相比，减少441.55万元，下降34.98%，主要原因是：单位本年下属两个分园三幼和十二幼独立划分出去</w:t>
      </w:r>
      <w:r>
        <w:rPr>
          <w:rFonts w:hint="eastAsia" w:ascii="仿宋_GB2312" w:eastAsia="仿宋_GB2312"/>
          <w:sz w:val="32"/>
          <w:szCs w:val="32"/>
        </w:rPr>
        <w:t>，经费减少</w:t>
      </w:r>
      <w:r>
        <w:rPr>
          <w:rFonts w:ascii="仿宋_GB2312" w:eastAsia="仿宋_GB2312"/>
          <w:sz w:val="32"/>
          <w:szCs w:val="32"/>
        </w:rPr>
        <w:t>。与年初预算相比，年初预算数638.17万元，决算数820.61万元，预决算差异率28.59%，主要原因是：年中追加中央财政支持学前教育发展资金项目经费、城镇幼儿园公用经费。</w:t>
      </w:r>
    </w:p>
    <w:p w14:paraId="5F7BAD19">
      <w:pPr>
        <w:widowControl/>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14:paraId="54657EEF">
      <w:pPr>
        <w:widowControl/>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教育支出（类）820.61万元，占100.00%。</w:t>
      </w:r>
    </w:p>
    <w:p w14:paraId="39AC917D">
      <w:pPr>
        <w:widowControl/>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14:paraId="226CEE8A">
      <w:pPr>
        <w:widowControl/>
        <w:ind w:firstLine="640" w:firstLineChars="200"/>
        <w:rPr>
          <w:rFonts w:ascii="仿宋_GB2312" w:eastAsia="仿宋_GB2312"/>
          <w:sz w:val="32"/>
          <w:szCs w:val="32"/>
        </w:rPr>
      </w:pPr>
      <w:r>
        <w:rPr>
          <w:rFonts w:ascii="仿宋_GB2312" w:eastAsia="仿宋_GB2312"/>
          <w:sz w:val="32"/>
          <w:szCs w:val="32"/>
        </w:rPr>
        <w:t>1、教育支出（类）普通教育（款）学前教育（项）：支出决算数为783.98万元，比上年决算减少478.18万元，下降37.89%，主要原因是：单位本年下属两个分园三幼和十二幼独立划分出去</w:t>
      </w:r>
      <w:r>
        <w:rPr>
          <w:rFonts w:hint="eastAsia" w:ascii="仿宋_GB2312" w:eastAsia="仿宋_GB2312"/>
          <w:sz w:val="32"/>
          <w:szCs w:val="32"/>
        </w:rPr>
        <w:t>，两园经费减少</w:t>
      </w:r>
      <w:r>
        <w:rPr>
          <w:rFonts w:ascii="仿宋_GB2312" w:eastAsia="仿宋_GB2312"/>
          <w:sz w:val="32"/>
          <w:szCs w:val="32"/>
        </w:rPr>
        <w:t>。</w:t>
      </w:r>
    </w:p>
    <w:p w14:paraId="3850F0A6">
      <w:pPr>
        <w:widowControl/>
        <w:ind w:firstLine="640" w:firstLineChars="200"/>
        <w:rPr>
          <w:rFonts w:ascii="仿宋_GB2312" w:eastAsia="仿宋_GB2312"/>
          <w:sz w:val="32"/>
          <w:szCs w:val="32"/>
        </w:rPr>
      </w:pPr>
      <w:r>
        <w:rPr>
          <w:rFonts w:ascii="仿宋_GB2312" w:eastAsia="仿宋_GB2312"/>
          <w:sz w:val="32"/>
          <w:szCs w:val="32"/>
        </w:rPr>
        <w:t>2、教育支出（类）教育费附加安排的支出（款）其他教育费附加安排的支出（项）：支出决算数为36.63万元，比上年决算增加36.63万元，增长100.00%，主要原因是：单位本年城镇幼儿园</w:t>
      </w:r>
      <w:r>
        <w:rPr>
          <w:rFonts w:hint="eastAsia" w:ascii="仿宋_GB2312" w:eastAsia="仿宋_GB2312"/>
          <w:sz w:val="32"/>
          <w:szCs w:val="32"/>
        </w:rPr>
        <w:t>办公费、长聘人员工资福利支出</w:t>
      </w:r>
      <w:r>
        <w:rPr>
          <w:rFonts w:ascii="仿宋_GB2312" w:eastAsia="仿宋_GB2312"/>
          <w:sz w:val="32"/>
          <w:szCs w:val="32"/>
        </w:rPr>
        <w:t>增加。</w:t>
      </w:r>
    </w:p>
    <w:p w14:paraId="1136CBB1">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6B21759F">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727.93万元，其中：人员经费683.94万元，包括：基本工资、津贴补贴、奖金、绩效工资、机关事业单位基本养老保险缴费、职工基本医疗保险缴费、公务员医疗补助缴费、其他社会保障缴费、住房公积金和其他工资福利支出。</w:t>
      </w:r>
    </w:p>
    <w:p w14:paraId="2E87676E">
      <w:pPr>
        <w:widowControl/>
        <w:ind w:firstLine="640" w:firstLineChars="200"/>
        <w:rPr>
          <w:rFonts w:ascii="仿宋_GB2312" w:eastAsia="仿宋_GB2312"/>
          <w:sz w:val="32"/>
          <w:szCs w:val="32"/>
        </w:rPr>
      </w:pPr>
      <w:r>
        <w:rPr>
          <w:rFonts w:ascii="仿宋_GB2312" w:eastAsia="仿宋_GB2312"/>
          <w:sz w:val="32"/>
          <w:szCs w:val="32"/>
        </w:rPr>
        <w:t>公用经费43.99万元，包括：办公费、咨询费、水费、电费、邮电费、取暖费、维修（护）费、劳务费、其他商品和服务支出和办公设备购置。</w:t>
      </w:r>
    </w:p>
    <w:p w14:paraId="2A7FBB98">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2E570112">
      <w:pPr>
        <w:widowControl/>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049F93BF">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5183CDF1">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22E2D175">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61D0CA94">
      <w:pPr>
        <w:widowControl/>
        <w:ind w:firstLine="640" w:firstLineChars="200"/>
        <w:rPr>
          <w:rFonts w:ascii="仿宋_GB2312" w:eastAsia="仿宋_GB2312"/>
          <w:sz w:val="32"/>
          <w:szCs w:val="32"/>
        </w:rPr>
      </w:pPr>
      <w:r>
        <w:rPr>
          <w:rFonts w:ascii="仿宋_GB2312" w:eastAsia="仿宋_GB2312"/>
          <w:sz w:val="32"/>
          <w:szCs w:val="32"/>
        </w:rPr>
        <w:t>2024年度财政拨款“三公”经费支出0.00万元，与上年相比无变化，主要原因是：</w:t>
      </w:r>
      <w:r>
        <w:rPr>
          <w:rFonts w:hint="eastAsia" w:ascii="仿宋_GB2312" w:eastAsia="仿宋_GB2312"/>
          <w:sz w:val="32"/>
          <w:szCs w:val="32"/>
        </w:rPr>
        <w:t>我单位上年度与本年度均无“三公”经费</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hint="eastAsia" w:ascii="仿宋_GB2312" w:eastAsia="仿宋_GB2312"/>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我单位上年度与本年度均无公务接待费</w:t>
      </w:r>
      <w:r>
        <w:rPr>
          <w:rFonts w:ascii="仿宋_GB2312" w:eastAsia="仿宋_GB2312"/>
          <w:sz w:val="32"/>
          <w:szCs w:val="32"/>
        </w:rPr>
        <w:t>。</w:t>
      </w:r>
    </w:p>
    <w:p w14:paraId="20431B5E">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67BC77F6">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因公出国（境）费支出0.00万元，开支内容包括单位本年无因公出国（境）费支出。单位全年安排的因公出国（境）团组0个，因公出国（境）0人次。</w:t>
      </w:r>
    </w:p>
    <w:p w14:paraId="2427BE54">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1" w:name="_GoBack"/>
      <w:bookmarkEnd w:id="1"/>
      <w:r>
        <w:rPr>
          <w:rFonts w:ascii="仿宋_GB2312" w:eastAsia="仿宋_GB2312"/>
          <w:sz w:val="32"/>
          <w:szCs w:val="32"/>
        </w:rPr>
        <w:t>单位本年无公务用车运行维护费。公务用车购置数0辆，公务用车保有量0辆。国有资产占用情况中固定资产车辆0辆，与公务用车保有量差异原因是：</w:t>
      </w:r>
      <w:r>
        <w:rPr>
          <w:rFonts w:hint="eastAsia" w:ascii="仿宋_GB2312" w:eastAsia="仿宋_GB2312"/>
          <w:sz w:val="32"/>
          <w:szCs w:val="32"/>
        </w:rPr>
        <w:t>本单位固定资产车辆与公务用车保有量一致无差异</w:t>
      </w:r>
      <w:r>
        <w:rPr>
          <w:rFonts w:ascii="仿宋_GB2312" w:eastAsia="仿宋_GB2312"/>
          <w:sz w:val="32"/>
          <w:szCs w:val="32"/>
        </w:rPr>
        <w:t>。</w:t>
      </w:r>
    </w:p>
    <w:p w14:paraId="35149594">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公务接待费0.00万元，开支内容包括单位本年无公务接待费支出。单位全年安排的国内公务接待0批次，0人次。</w:t>
      </w:r>
    </w:p>
    <w:p w14:paraId="460D5621">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w:t>
      </w:r>
    </w:p>
    <w:p w14:paraId="36289585">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7836AFF2">
      <w:pPr>
        <w:widowControl/>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14:paraId="74BE6153">
      <w:pPr>
        <w:widowControl/>
        <w:ind w:firstLine="640" w:firstLineChars="200"/>
        <w:rPr>
          <w:rFonts w:ascii="仿宋_GB2312" w:eastAsia="仿宋_GB2312"/>
          <w:sz w:val="32"/>
          <w:szCs w:val="32"/>
        </w:rPr>
      </w:pPr>
      <w:r>
        <w:rPr>
          <w:rFonts w:ascii="仿宋_GB2312" w:eastAsia="仿宋_GB2312"/>
          <w:sz w:val="32"/>
          <w:szCs w:val="32"/>
        </w:rPr>
        <w:t>2024年度昌吉市第七幼儿园单位​（事业单位）公用经费支出43.99万元，比上年减少32.56万元，下降42.53%，主要原因是：单位本年取暖费、维修（护）费、劳务费较上年减少。</w:t>
      </w:r>
    </w:p>
    <w:p w14:paraId="3B8EB55D">
      <w:pPr>
        <w:widowControl/>
        <w:ind w:firstLine="643" w:firstLineChars="200"/>
        <w:jc w:val="left"/>
        <w:outlineLvl w:val="2"/>
        <w:rPr>
          <w:rFonts w:ascii="黑体" w:eastAsia="黑体"/>
          <w:sz w:val="32"/>
          <w:szCs w:val="32"/>
        </w:rPr>
      </w:pPr>
      <w:r>
        <w:rPr>
          <w:rFonts w:ascii="黑体" w:eastAsia="黑体"/>
          <w:b/>
          <w:sz w:val="32"/>
          <w:szCs w:val="32"/>
        </w:rPr>
        <w:t>（二）政府采购情况</w:t>
      </w:r>
    </w:p>
    <w:p w14:paraId="375FF937">
      <w:pPr>
        <w:widowControl/>
        <w:ind w:firstLine="640" w:firstLineChars="200"/>
        <w:rPr>
          <w:rFonts w:ascii="仿宋_GB2312" w:eastAsia="仿宋_GB2312"/>
          <w:sz w:val="32"/>
          <w:szCs w:val="32"/>
        </w:rPr>
      </w:pPr>
      <w:r>
        <w:rPr>
          <w:rFonts w:ascii="仿宋_GB2312" w:eastAsia="仿宋_GB2312"/>
          <w:sz w:val="32"/>
          <w:szCs w:val="32"/>
        </w:rPr>
        <w:t>2024年度政府采购支出总额60.64万元，其中：政府采购货物支出40.21万元、政府采购工程支出9.51万元、政府采购服务支出10.92万元。</w:t>
      </w:r>
    </w:p>
    <w:p w14:paraId="65EDBDA5">
      <w:pPr>
        <w:widowControl/>
        <w:ind w:firstLine="640" w:firstLineChars="200"/>
        <w:rPr>
          <w:rFonts w:ascii="仿宋_GB2312" w:eastAsia="仿宋_GB2312"/>
          <w:sz w:val="32"/>
          <w:szCs w:val="32"/>
        </w:rPr>
      </w:pPr>
      <w:r>
        <w:rPr>
          <w:rFonts w:ascii="仿宋_GB2312" w:eastAsia="仿宋_GB2312"/>
          <w:sz w:val="32"/>
          <w:szCs w:val="32"/>
        </w:rPr>
        <w:t>授予中小企业合同金额60.08万元，占政府采购支出总额的99.08%，其中：授予小微企业合同金额60.08万元，占政府采购支出总额的99.08%。</w:t>
      </w:r>
    </w:p>
    <w:p w14:paraId="14D6F9AB">
      <w:pPr>
        <w:widowControl/>
        <w:ind w:firstLine="643" w:firstLineChars="200"/>
        <w:jc w:val="left"/>
        <w:outlineLvl w:val="2"/>
        <w:rPr>
          <w:rFonts w:ascii="黑体" w:eastAsia="黑体"/>
          <w:sz w:val="32"/>
          <w:szCs w:val="32"/>
        </w:rPr>
      </w:pPr>
      <w:r>
        <w:rPr>
          <w:rFonts w:ascii="黑体" w:eastAsia="黑体"/>
          <w:b/>
          <w:sz w:val="32"/>
          <w:szCs w:val="32"/>
        </w:rPr>
        <w:t>（三）国有资产占用情况说明</w:t>
      </w:r>
    </w:p>
    <w:p w14:paraId="75FF0AE1">
      <w:pPr>
        <w:widowControl/>
        <w:ind w:firstLine="640" w:firstLineChars="200"/>
        <w:rPr>
          <w:rFonts w:ascii="仿宋_GB2312" w:eastAsia="仿宋_GB2312"/>
          <w:sz w:val="32"/>
          <w:szCs w:val="32"/>
        </w:rPr>
      </w:pPr>
      <w:r>
        <w:rPr>
          <w:rFonts w:ascii="仿宋_GB2312" w:eastAsia="仿宋_GB2312"/>
          <w:sz w:val="32"/>
          <w:szCs w:val="32"/>
        </w:rPr>
        <w:t>截至2024年12月31日，房屋2,788.60平方米，价值1,015.19万元。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04A07DC6">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0F9CE955">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848.41万元，实际执行总额838.12万元；预算绩效评价项目1个，全年预算数7.63万元，全年执行数7.63万元。预算绩效管理取得的成效：</w:t>
      </w:r>
      <w:r>
        <w:rPr>
          <w:rFonts w:hint="eastAsia" w:ascii="仿宋_GB2312" w:eastAsia="仿宋_GB2312"/>
          <w:sz w:val="32"/>
          <w:szCs w:val="32"/>
        </w:rPr>
        <w:t>一是通过合理统筹经费、优化后勤服务、维护校园设施等举措，为教学设备运转、师生日常需求提供坚实支撑，切实保障学校各项工作有序推进、正常运转；二是围绕教学目标细化课程安排，配备优质师资、组织多样教学活动，有效衔接课前准备与课后辅导，确保教育教学活动高质量完成。</w:t>
      </w:r>
      <w:r>
        <w:rPr>
          <w:rFonts w:ascii="仿宋_GB2312" w:eastAsia="仿宋_GB2312"/>
          <w:sz w:val="32"/>
          <w:szCs w:val="32"/>
        </w:rPr>
        <w:t>发现的问题及原因：</w:t>
      </w:r>
      <w:r>
        <w:rPr>
          <w:rFonts w:hint="eastAsia" w:ascii="仿宋_GB2312" w:eastAsia="仿宋_GB2312"/>
          <w:sz w:val="32"/>
          <w:szCs w:val="32"/>
        </w:rPr>
        <w:t>一是当前工作机制仍有待进一步完善，在日常工作里，对绩效监控工作的重视程度需切实加强，需将其融入经费使用、任务推进全流程，避免流于形式；二是绩效监控常滞后于工作进度，尚未形成常态化跟踪绩效目标的习惯，难以及时发现问题、纠正偏差。</w:t>
      </w:r>
      <w:r>
        <w:rPr>
          <w:rFonts w:ascii="仿宋_GB2312" w:eastAsia="仿宋_GB2312"/>
          <w:sz w:val="32"/>
          <w:szCs w:val="32"/>
        </w:rPr>
        <w:t>下一步改进措施：一是在今后的工作一方面要严格预算编制，做到细化精确；二是定期对预算执行情况进行监督，使绩效目标监控与政府工作、财务工作挂钩，做到及时监控，及时控制，避免疏忽。具体附部门整体支出绩效自评表，项目支出绩效自评表和部门评价报告。</w:t>
      </w:r>
    </w:p>
    <w:p w14:paraId="200F7AA3">
      <w:pPr>
        <w:jc w:val="center"/>
        <w:rPr>
          <w:rFonts w:hint="eastAsia" w:ascii="宋体" w:hAnsi="宋体" w:eastAsia="宋体" w:cs="宋体"/>
          <w:b/>
          <w:bCs/>
          <w:sz w:val="28"/>
          <w:szCs w:val="28"/>
        </w:rPr>
      </w:pPr>
      <w:r>
        <w:rPr>
          <w:rFonts w:hint="eastAsia" w:ascii="宋体" w:hAnsi="宋体" w:eastAsia="宋体" w:cs="宋体"/>
          <w:b/>
          <w:bCs/>
          <w:sz w:val="28"/>
          <w:szCs w:val="28"/>
        </w:rPr>
        <w:t>部门（单位）整体支出绩效目标自评表</w:t>
      </w:r>
    </w:p>
    <w:p w14:paraId="6E96287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42F09515">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F1E8D8B">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6265046">
            <w:pPr>
              <w:widowControl/>
              <w:jc w:val="center"/>
              <w:rPr>
                <w:rFonts w:hint="eastAsia" w:ascii="宋体" w:hAnsi="宋体" w:eastAsia="宋体" w:cs="宋体"/>
                <w:b/>
                <w:bCs/>
                <w:sz w:val="18"/>
                <w:szCs w:val="18"/>
              </w:rPr>
            </w:pPr>
            <w:r>
              <w:rPr>
                <w:rFonts w:hint="eastAsia" w:ascii="宋体" w:hAnsi="宋体" w:eastAsia="宋体" w:cs="宋体"/>
                <w:b/>
                <w:bCs/>
                <w:sz w:val="18"/>
                <w:szCs w:val="18"/>
              </w:rPr>
              <w:t>昌吉市第七幼儿园</w:t>
            </w:r>
          </w:p>
        </w:tc>
      </w:tr>
      <w:tr w14:paraId="3C73BDA2">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5580D07">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8D1EF9A">
            <w:pPr>
              <w:widowControl/>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E3260E7">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0A185D61">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78590008">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523C1446">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65225A0">
            <w:pPr>
              <w:widowControl/>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1072D82">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5D7654BD">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F188F4B">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984399C">
            <w:pPr>
              <w:widowControl/>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71AF8542">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46AD16D">
            <w:pPr>
              <w:widowControl/>
              <w:jc w:val="center"/>
              <w:rPr>
                <w:rFonts w:hint="eastAsia" w:ascii="宋体" w:hAnsi="宋体" w:eastAsia="宋体" w:cs="宋体"/>
                <w:sz w:val="18"/>
                <w:szCs w:val="18"/>
              </w:rPr>
            </w:pPr>
            <w:r>
              <w:rPr>
                <w:rFonts w:hint="eastAsia" w:ascii="宋体" w:hAnsi="宋体" w:eastAsia="宋体" w:cs="宋体"/>
                <w:sz w:val="18"/>
                <w:szCs w:val="18"/>
              </w:rPr>
              <w:t>63.68</w:t>
            </w:r>
          </w:p>
        </w:tc>
        <w:tc>
          <w:tcPr>
            <w:tcW w:w="1417" w:type="dxa"/>
            <w:tcBorders>
              <w:top w:val="nil"/>
              <w:left w:val="nil"/>
              <w:bottom w:val="single" w:color="auto" w:sz="4" w:space="0"/>
              <w:right w:val="single" w:color="auto" w:sz="4" w:space="0"/>
            </w:tcBorders>
            <w:vAlign w:val="center"/>
          </w:tcPr>
          <w:p w14:paraId="7FD86277">
            <w:pPr>
              <w:widowControl/>
              <w:jc w:val="center"/>
              <w:rPr>
                <w:rFonts w:hint="eastAsia" w:ascii="宋体" w:hAnsi="宋体" w:eastAsia="宋体" w:cs="宋体"/>
                <w:sz w:val="18"/>
                <w:szCs w:val="18"/>
              </w:rPr>
            </w:pPr>
            <w:r>
              <w:rPr>
                <w:rFonts w:hint="eastAsia" w:ascii="宋体" w:hAnsi="宋体" w:eastAsia="宋体" w:cs="宋体"/>
                <w:sz w:val="18"/>
                <w:szCs w:val="18"/>
              </w:rPr>
              <w:t>63.68</w:t>
            </w:r>
          </w:p>
        </w:tc>
        <w:tc>
          <w:tcPr>
            <w:tcW w:w="1134" w:type="dxa"/>
            <w:tcBorders>
              <w:top w:val="nil"/>
              <w:left w:val="nil"/>
              <w:bottom w:val="single" w:color="auto" w:sz="4" w:space="0"/>
              <w:right w:val="single" w:color="auto" w:sz="4" w:space="0"/>
            </w:tcBorders>
            <w:vAlign w:val="center"/>
          </w:tcPr>
          <w:p w14:paraId="17F9FF21">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5407E8A8">
            <w:pPr>
              <w:widowControl/>
              <w:jc w:val="center"/>
              <w:rPr>
                <w:rFonts w:hint="eastAsia" w:ascii="宋体" w:hAnsi="宋体" w:eastAsia="宋体" w:cs="宋体"/>
                <w:sz w:val="18"/>
                <w:szCs w:val="18"/>
              </w:rPr>
            </w:pPr>
            <w:r>
              <w:rPr>
                <w:rFonts w:hint="eastAsia" w:ascii="宋体" w:hAnsi="宋体" w:eastAsia="宋体" w:cs="宋体"/>
                <w:sz w:val="18"/>
                <w:szCs w:val="18"/>
              </w:rPr>
              <w:t>98.79%</w:t>
            </w:r>
          </w:p>
        </w:tc>
        <w:tc>
          <w:tcPr>
            <w:tcW w:w="720" w:type="dxa"/>
            <w:tcBorders>
              <w:top w:val="nil"/>
              <w:left w:val="nil"/>
              <w:bottom w:val="single" w:color="auto" w:sz="4" w:space="0"/>
              <w:right w:val="single" w:color="auto" w:sz="4" w:space="0"/>
            </w:tcBorders>
            <w:vAlign w:val="center"/>
          </w:tcPr>
          <w:p w14:paraId="715EA557">
            <w:pPr>
              <w:widowControl/>
              <w:jc w:val="center"/>
              <w:rPr>
                <w:rFonts w:hint="eastAsia" w:ascii="宋体" w:hAnsi="宋体" w:eastAsia="宋体" w:cs="宋体"/>
                <w:sz w:val="18"/>
                <w:szCs w:val="18"/>
              </w:rPr>
            </w:pPr>
            <w:r>
              <w:rPr>
                <w:rFonts w:hint="eastAsia" w:ascii="宋体" w:hAnsi="宋体" w:eastAsia="宋体" w:cs="宋体"/>
                <w:sz w:val="18"/>
                <w:szCs w:val="18"/>
              </w:rPr>
              <w:t>9.88</w:t>
            </w:r>
          </w:p>
        </w:tc>
      </w:tr>
      <w:tr w14:paraId="7E6FAB2E">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B0585B9">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9AEBD95">
            <w:pPr>
              <w:widowControl/>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754BC360">
            <w:pPr>
              <w:widowControl/>
              <w:jc w:val="center"/>
              <w:rPr>
                <w:rFonts w:hint="eastAsia" w:ascii="宋体" w:hAnsi="宋体" w:eastAsia="宋体" w:cs="宋体"/>
                <w:sz w:val="18"/>
                <w:szCs w:val="18"/>
              </w:rPr>
            </w:pPr>
            <w:r>
              <w:rPr>
                <w:rFonts w:hint="eastAsia" w:ascii="宋体" w:hAnsi="宋体" w:eastAsia="宋体" w:cs="宋体"/>
                <w:sz w:val="18"/>
                <w:szCs w:val="18"/>
              </w:rPr>
              <w:t>638.17</w:t>
            </w:r>
          </w:p>
        </w:tc>
        <w:tc>
          <w:tcPr>
            <w:tcW w:w="1242" w:type="dxa"/>
            <w:tcBorders>
              <w:top w:val="nil"/>
              <w:left w:val="nil"/>
              <w:bottom w:val="single" w:color="auto" w:sz="4" w:space="0"/>
              <w:right w:val="single" w:color="auto" w:sz="4" w:space="0"/>
            </w:tcBorders>
            <w:vAlign w:val="center"/>
          </w:tcPr>
          <w:p w14:paraId="1D9AAA76">
            <w:pPr>
              <w:widowControl/>
              <w:jc w:val="center"/>
              <w:rPr>
                <w:rFonts w:hint="eastAsia" w:ascii="宋体" w:hAnsi="宋体" w:eastAsia="宋体" w:cs="宋体"/>
                <w:sz w:val="18"/>
                <w:szCs w:val="18"/>
              </w:rPr>
            </w:pPr>
            <w:r>
              <w:rPr>
                <w:rFonts w:hint="eastAsia" w:ascii="宋体" w:hAnsi="宋体" w:eastAsia="宋体" w:cs="宋体"/>
                <w:sz w:val="18"/>
                <w:szCs w:val="18"/>
              </w:rPr>
              <w:t>784.73</w:t>
            </w:r>
          </w:p>
        </w:tc>
        <w:tc>
          <w:tcPr>
            <w:tcW w:w="1417" w:type="dxa"/>
            <w:tcBorders>
              <w:top w:val="nil"/>
              <w:left w:val="nil"/>
              <w:bottom w:val="single" w:color="auto" w:sz="4" w:space="0"/>
              <w:right w:val="single" w:color="auto" w:sz="4" w:space="0"/>
            </w:tcBorders>
            <w:vAlign w:val="center"/>
          </w:tcPr>
          <w:p w14:paraId="6CFF2611">
            <w:pPr>
              <w:widowControl/>
              <w:jc w:val="center"/>
              <w:rPr>
                <w:rFonts w:hint="eastAsia" w:ascii="宋体" w:hAnsi="宋体" w:eastAsia="宋体" w:cs="宋体"/>
                <w:sz w:val="18"/>
                <w:szCs w:val="18"/>
              </w:rPr>
            </w:pPr>
            <w:r>
              <w:rPr>
                <w:rFonts w:hint="eastAsia" w:ascii="宋体" w:hAnsi="宋体" w:eastAsia="宋体" w:cs="宋体"/>
                <w:sz w:val="18"/>
                <w:szCs w:val="18"/>
              </w:rPr>
              <w:t>774.44</w:t>
            </w:r>
          </w:p>
        </w:tc>
        <w:tc>
          <w:tcPr>
            <w:tcW w:w="1134" w:type="dxa"/>
            <w:tcBorders>
              <w:top w:val="nil"/>
              <w:left w:val="nil"/>
              <w:bottom w:val="single" w:color="auto" w:sz="4" w:space="0"/>
              <w:right w:val="single" w:color="auto" w:sz="4" w:space="0"/>
            </w:tcBorders>
            <w:vAlign w:val="center"/>
          </w:tcPr>
          <w:p w14:paraId="31D515E3">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1310" w:type="dxa"/>
            <w:tcBorders>
              <w:top w:val="nil"/>
              <w:left w:val="nil"/>
              <w:bottom w:val="single" w:color="auto" w:sz="4" w:space="0"/>
              <w:right w:val="single" w:color="auto" w:sz="4" w:space="0"/>
            </w:tcBorders>
            <w:vAlign w:val="center"/>
          </w:tcPr>
          <w:p w14:paraId="63C87C68">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398D4F9C">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r>
      <w:tr w14:paraId="79F1D261">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B87E1E5">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5DDD23C">
            <w:pPr>
              <w:widowControl/>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20473261">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B78F249">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46F027F1">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5D250FB">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1310" w:type="dxa"/>
            <w:tcBorders>
              <w:top w:val="nil"/>
              <w:left w:val="nil"/>
              <w:bottom w:val="single" w:color="auto" w:sz="4" w:space="0"/>
              <w:right w:val="single" w:color="auto" w:sz="4" w:space="0"/>
            </w:tcBorders>
            <w:vAlign w:val="center"/>
          </w:tcPr>
          <w:p w14:paraId="0C8EF817">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3840996E">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r>
      <w:tr w14:paraId="627DE2FA">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3DF19F3">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103140E">
            <w:pPr>
              <w:widowControl/>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22579E4B">
            <w:pPr>
              <w:widowControl/>
              <w:jc w:val="center"/>
              <w:rPr>
                <w:rFonts w:hint="eastAsia" w:ascii="宋体" w:hAnsi="宋体" w:eastAsia="宋体" w:cs="宋体"/>
                <w:sz w:val="18"/>
                <w:szCs w:val="18"/>
              </w:rPr>
            </w:pPr>
            <w:r>
              <w:rPr>
                <w:rFonts w:hint="eastAsia" w:ascii="宋体" w:hAnsi="宋体" w:eastAsia="宋体" w:cs="宋体"/>
                <w:sz w:val="18"/>
                <w:szCs w:val="18"/>
              </w:rPr>
              <w:t>638.17</w:t>
            </w:r>
          </w:p>
        </w:tc>
        <w:tc>
          <w:tcPr>
            <w:tcW w:w="1242" w:type="dxa"/>
            <w:tcBorders>
              <w:top w:val="nil"/>
              <w:left w:val="nil"/>
              <w:bottom w:val="single" w:color="auto" w:sz="4" w:space="0"/>
              <w:right w:val="single" w:color="auto" w:sz="4" w:space="0"/>
            </w:tcBorders>
            <w:vAlign w:val="center"/>
          </w:tcPr>
          <w:p w14:paraId="3B248785">
            <w:pPr>
              <w:widowControl/>
              <w:jc w:val="center"/>
              <w:rPr>
                <w:rFonts w:hint="eastAsia" w:ascii="宋体" w:hAnsi="宋体" w:eastAsia="宋体" w:cs="宋体"/>
                <w:sz w:val="18"/>
                <w:szCs w:val="18"/>
              </w:rPr>
            </w:pPr>
            <w:r>
              <w:rPr>
                <w:rFonts w:hint="eastAsia" w:ascii="宋体" w:hAnsi="宋体" w:eastAsia="宋体" w:cs="宋体"/>
                <w:sz w:val="18"/>
                <w:szCs w:val="18"/>
              </w:rPr>
              <w:t>848.41</w:t>
            </w:r>
          </w:p>
        </w:tc>
        <w:tc>
          <w:tcPr>
            <w:tcW w:w="1417" w:type="dxa"/>
            <w:tcBorders>
              <w:top w:val="nil"/>
              <w:left w:val="nil"/>
              <w:bottom w:val="single" w:color="auto" w:sz="4" w:space="0"/>
              <w:right w:val="single" w:color="auto" w:sz="4" w:space="0"/>
            </w:tcBorders>
            <w:vAlign w:val="center"/>
          </w:tcPr>
          <w:p w14:paraId="7AE50803">
            <w:pPr>
              <w:widowControl/>
              <w:jc w:val="center"/>
              <w:rPr>
                <w:rFonts w:hint="eastAsia" w:ascii="宋体" w:hAnsi="宋体" w:eastAsia="宋体" w:cs="宋体"/>
                <w:sz w:val="18"/>
                <w:szCs w:val="18"/>
              </w:rPr>
            </w:pPr>
            <w:r>
              <w:rPr>
                <w:rFonts w:hint="eastAsia" w:ascii="宋体" w:hAnsi="宋体" w:eastAsia="宋体" w:cs="宋体"/>
                <w:sz w:val="18"/>
                <w:szCs w:val="18"/>
              </w:rPr>
              <w:t>838.12</w:t>
            </w:r>
          </w:p>
        </w:tc>
        <w:tc>
          <w:tcPr>
            <w:tcW w:w="1134" w:type="dxa"/>
            <w:tcBorders>
              <w:top w:val="nil"/>
              <w:left w:val="nil"/>
              <w:bottom w:val="single" w:color="auto" w:sz="4" w:space="0"/>
              <w:right w:val="single" w:color="auto" w:sz="4" w:space="0"/>
            </w:tcBorders>
            <w:vAlign w:val="center"/>
          </w:tcPr>
          <w:p w14:paraId="767471A2">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0719718C">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542E315E">
            <w:pPr>
              <w:widowControl/>
              <w:jc w:val="center"/>
              <w:rPr>
                <w:rFonts w:hint="eastAsia" w:ascii="宋体" w:hAnsi="宋体" w:eastAsia="宋体" w:cs="宋体"/>
                <w:sz w:val="18"/>
                <w:szCs w:val="18"/>
              </w:rPr>
            </w:pPr>
            <w:r>
              <w:rPr>
                <w:rFonts w:hint="eastAsia" w:ascii="宋体" w:hAnsi="宋体" w:eastAsia="宋体" w:cs="宋体"/>
                <w:sz w:val="18"/>
                <w:szCs w:val="18"/>
              </w:rPr>
              <w:t>-</w:t>
            </w:r>
          </w:p>
        </w:tc>
      </w:tr>
      <w:tr w14:paraId="6F4E38CB">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31AE863">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5C85720E">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88EA1EC">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1DDAB91C">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03349D">
            <w:pPr>
              <w:widowControl/>
              <w:jc w:val="left"/>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723218A5">
            <w:pPr>
              <w:widowControl/>
              <w:jc w:val="left"/>
              <w:rPr>
                <w:rFonts w:hint="eastAsia" w:ascii="宋体" w:hAnsi="宋体" w:eastAsia="宋体" w:cs="宋体"/>
                <w:sz w:val="18"/>
                <w:szCs w:val="18"/>
              </w:rPr>
            </w:pPr>
            <w:r>
              <w:rPr>
                <w:rFonts w:hint="eastAsia" w:ascii="宋体" w:hAnsi="宋体" w:eastAsia="宋体" w:cs="宋体"/>
                <w:sz w:val="18"/>
                <w:szCs w:val="18"/>
              </w:rPr>
              <w:t>1完成在校学生教育528人，提高昌吉市教学水平；2完成学年内结业人数149人，达成教育教学目标；3完成学年内新入学生人数170人，解决就学问题。</w:t>
            </w:r>
          </w:p>
        </w:tc>
        <w:tc>
          <w:tcPr>
            <w:tcW w:w="4581" w:type="dxa"/>
            <w:gridSpan w:val="4"/>
            <w:tcBorders>
              <w:top w:val="single" w:color="auto" w:sz="4" w:space="0"/>
              <w:left w:val="nil"/>
              <w:bottom w:val="single" w:color="auto" w:sz="4" w:space="0"/>
              <w:right w:val="single" w:color="auto" w:sz="4" w:space="0"/>
            </w:tcBorders>
          </w:tcPr>
          <w:p w14:paraId="11EB318D">
            <w:pPr>
              <w:widowControl/>
              <w:jc w:val="left"/>
              <w:rPr>
                <w:rFonts w:hint="eastAsia" w:ascii="宋体" w:hAnsi="宋体" w:eastAsia="宋体" w:cs="宋体"/>
                <w:sz w:val="18"/>
                <w:szCs w:val="18"/>
              </w:rPr>
            </w:pPr>
            <w:r>
              <w:rPr>
                <w:rFonts w:hint="eastAsia" w:ascii="宋体" w:hAnsi="宋体" w:eastAsia="宋体" w:cs="宋体"/>
                <w:sz w:val="18"/>
                <w:szCs w:val="18"/>
              </w:rPr>
              <w:t>截止2024年12月31日，我园投入727.93万元，用于保障人员经费683.94万元，公用经费43.99万元，完成在校学生教育528人，提高昌吉市教学水平；完成学年内结业人数149人，达成教育教学目标；完成学年内新入学生人数170人，解决就学问题；本年度结业完成率达100%，优化管理流程，完善规章制度，实现资源合理配置，提高行政、后勤等部门服务效率，保障了教学工作高效运转，促进校园文化凝聚，形成独特的校风、教风和学风，使家长满意度达95%，极大提高了昌吉市教育水平。</w:t>
            </w:r>
          </w:p>
        </w:tc>
      </w:tr>
      <w:tr w14:paraId="5DEC037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2E08891">
            <w:pPr>
              <w:widowControl/>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46AB351">
            <w:pPr>
              <w:widowControl/>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7D68DC2">
            <w:pPr>
              <w:widowControl/>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08883B16">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89EC71E">
            <w:pPr>
              <w:widowControl/>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1474B826">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1BEA7C1">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58A7A810">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1EFD3568">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422304C">
            <w:pPr>
              <w:widowControl/>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ABCCFCC">
            <w:pPr>
              <w:widowControl/>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38017EB2">
            <w:pPr>
              <w:widowControl/>
              <w:jc w:val="center"/>
              <w:rPr>
                <w:rFonts w:hint="eastAsia" w:ascii="宋体" w:hAnsi="宋体" w:eastAsia="宋体" w:cs="宋体"/>
                <w:sz w:val="18"/>
                <w:szCs w:val="18"/>
              </w:rPr>
            </w:pPr>
            <w:r>
              <w:rPr>
                <w:rFonts w:hint="eastAsia" w:ascii="宋体" w:hAnsi="宋体" w:eastAsia="宋体" w:cs="宋体"/>
                <w:sz w:val="18"/>
                <w:szCs w:val="18"/>
              </w:rPr>
              <w:t>完成在校学生教育数量</w:t>
            </w:r>
          </w:p>
        </w:tc>
        <w:tc>
          <w:tcPr>
            <w:tcW w:w="1242" w:type="dxa"/>
            <w:tcBorders>
              <w:top w:val="nil"/>
              <w:left w:val="nil"/>
              <w:bottom w:val="single" w:color="auto" w:sz="4" w:space="0"/>
              <w:right w:val="single" w:color="auto" w:sz="4" w:space="0"/>
            </w:tcBorders>
            <w:noWrap/>
            <w:vAlign w:val="center"/>
          </w:tcPr>
          <w:p w14:paraId="66B6316D">
            <w:pPr>
              <w:widowControl/>
              <w:jc w:val="center"/>
              <w:rPr>
                <w:rFonts w:hint="eastAsia" w:ascii="宋体" w:hAnsi="宋体" w:eastAsia="宋体" w:cs="宋体"/>
                <w:sz w:val="18"/>
                <w:szCs w:val="18"/>
              </w:rPr>
            </w:pPr>
            <w:r>
              <w:rPr>
                <w:rFonts w:hint="eastAsia" w:ascii="宋体" w:hAnsi="宋体" w:eastAsia="宋体" w:cs="宋体"/>
                <w:sz w:val="18"/>
                <w:szCs w:val="18"/>
              </w:rPr>
              <w:t>=528人</w:t>
            </w:r>
          </w:p>
        </w:tc>
        <w:tc>
          <w:tcPr>
            <w:tcW w:w="1417" w:type="dxa"/>
            <w:tcBorders>
              <w:top w:val="nil"/>
              <w:left w:val="nil"/>
              <w:bottom w:val="single" w:color="auto" w:sz="4" w:space="0"/>
              <w:right w:val="single" w:color="auto" w:sz="4" w:space="0"/>
            </w:tcBorders>
            <w:noWrap/>
            <w:vAlign w:val="center"/>
          </w:tcPr>
          <w:p w14:paraId="4E205803">
            <w:pPr>
              <w:widowControl/>
              <w:jc w:val="left"/>
              <w:rPr>
                <w:rFonts w:hint="eastAsia" w:ascii="宋体" w:hAnsi="宋体" w:eastAsia="宋体" w:cs="宋体"/>
                <w:sz w:val="18"/>
                <w:szCs w:val="18"/>
              </w:rPr>
            </w:pPr>
            <w:r>
              <w:rPr>
                <w:rFonts w:hint="eastAsia" w:ascii="宋体" w:hAnsi="宋体" w:eastAsia="宋体" w:cs="宋体"/>
                <w:sz w:val="18"/>
                <w:szCs w:val="18"/>
              </w:rPr>
              <w:t>1</w:t>
            </w:r>
          </w:p>
        </w:tc>
        <w:tc>
          <w:tcPr>
            <w:tcW w:w="1134" w:type="dxa"/>
            <w:tcBorders>
              <w:top w:val="nil"/>
              <w:left w:val="nil"/>
              <w:bottom w:val="single" w:color="auto" w:sz="4" w:space="0"/>
              <w:right w:val="single" w:color="auto" w:sz="4" w:space="0"/>
            </w:tcBorders>
            <w:noWrap/>
            <w:vAlign w:val="center"/>
          </w:tcPr>
          <w:p w14:paraId="527BFA71">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70ED9DC0">
            <w:pPr>
              <w:widowControl/>
              <w:jc w:val="center"/>
              <w:rPr>
                <w:rFonts w:hint="eastAsia" w:ascii="宋体" w:hAnsi="宋体" w:eastAsia="宋体" w:cs="宋体"/>
                <w:sz w:val="18"/>
                <w:szCs w:val="18"/>
              </w:rPr>
            </w:pPr>
            <w:r>
              <w:rPr>
                <w:rFonts w:hint="eastAsia" w:ascii="宋体" w:hAnsi="宋体" w:eastAsia="宋体" w:cs="宋体"/>
                <w:sz w:val="18"/>
                <w:szCs w:val="18"/>
              </w:rPr>
              <w:t>=528人</w:t>
            </w:r>
          </w:p>
        </w:tc>
        <w:tc>
          <w:tcPr>
            <w:tcW w:w="720" w:type="dxa"/>
            <w:tcBorders>
              <w:top w:val="nil"/>
              <w:left w:val="nil"/>
              <w:bottom w:val="single" w:color="auto" w:sz="4" w:space="0"/>
              <w:right w:val="single" w:color="auto" w:sz="4" w:space="0"/>
            </w:tcBorders>
            <w:noWrap/>
            <w:vAlign w:val="center"/>
          </w:tcPr>
          <w:p w14:paraId="2A7ECD78">
            <w:pPr>
              <w:widowControl/>
              <w:jc w:val="center"/>
              <w:rPr>
                <w:rFonts w:hint="eastAsia" w:ascii="宋体" w:hAnsi="宋体" w:eastAsia="宋体" w:cs="宋体"/>
                <w:sz w:val="18"/>
                <w:szCs w:val="18"/>
              </w:rPr>
            </w:pPr>
            <w:r>
              <w:rPr>
                <w:rFonts w:hint="eastAsia" w:ascii="宋体" w:hAnsi="宋体" w:eastAsia="宋体" w:cs="宋体"/>
                <w:sz w:val="18"/>
                <w:szCs w:val="18"/>
              </w:rPr>
              <w:t>23</w:t>
            </w:r>
          </w:p>
        </w:tc>
      </w:tr>
      <w:tr w14:paraId="7FF33B7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FF0DF08">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CE0FB78">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3030063">
            <w:pPr>
              <w:widowControl/>
              <w:jc w:val="center"/>
              <w:rPr>
                <w:rFonts w:hint="eastAsia" w:ascii="宋体" w:hAnsi="宋体" w:eastAsia="宋体" w:cs="宋体"/>
                <w:sz w:val="18"/>
                <w:szCs w:val="18"/>
              </w:rPr>
            </w:pPr>
            <w:r>
              <w:rPr>
                <w:rFonts w:hint="eastAsia" w:ascii="宋体" w:hAnsi="宋体" w:eastAsia="宋体" w:cs="宋体"/>
                <w:sz w:val="18"/>
                <w:szCs w:val="18"/>
              </w:rPr>
              <w:t>完成学年内新生人数</w:t>
            </w:r>
          </w:p>
        </w:tc>
        <w:tc>
          <w:tcPr>
            <w:tcW w:w="1242" w:type="dxa"/>
            <w:tcBorders>
              <w:top w:val="nil"/>
              <w:left w:val="nil"/>
              <w:bottom w:val="single" w:color="auto" w:sz="4" w:space="0"/>
              <w:right w:val="single" w:color="auto" w:sz="4" w:space="0"/>
            </w:tcBorders>
            <w:noWrap/>
            <w:vAlign w:val="center"/>
          </w:tcPr>
          <w:p w14:paraId="6D59046A">
            <w:pPr>
              <w:widowControl/>
              <w:jc w:val="center"/>
              <w:rPr>
                <w:rFonts w:hint="eastAsia" w:ascii="宋体" w:hAnsi="宋体" w:eastAsia="宋体" w:cs="宋体"/>
                <w:sz w:val="18"/>
                <w:szCs w:val="18"/>
              </w:rPr>
            </w:pPr>
            <w:r>
              <w:rPr>
                <w:rFonts w:hint="eastAsia" w:ascii="宋体" w:hAnsi="宋体" w:eastAsia="宋体" w:cs="宋体"/>
                <w:sz w:val="18"/>
                <w:szCs w:val="18"/>
              </w:rPr>
              <w:t>=170人</w:t>
            </w:r>
          </w:p>
        </w:tc>
        <w:tc>
          <w:tcPr>
            <w:tcW w:w="1417" w:type="dxa"/>
            <w:tcBorders>
              <w:top w:val="nil"/>
              <w:left w:val="nil"/>
              <w:bottom w:val="single" w:color="auto" w:sz="4" w:space="0"/>
              <w:right w:val="single" w:color="auto" w:sz="4" w:space="0"/>
            </w:tcBorders>
            <w:noWrap/>
            <w:vAlign w:val="center"/>
          </w:tcPr>
          <w:p w14:paraId="417FA120">
            <w:pPr>
              <w:widowControl/>
              <w:jc w:val="left"/>
              <w:rPr>
                <w:rFonts w:hint="eastAsia" w:ascii="宋体" w:hAnsi="宋体" w:eastAsia="宋体" w:cs="宋体"/>
                <w:sz w:val="18"/>
                <w:szCs w:val="18"/>
              </w:rPr>
            </w:pPr>
            <w:r>
              <w:rPr>
                <w:rFonts w:hint="eastAsia" w:ascii="宋体" w:hAnsi="宋体" w:eastAsia="宋体" w:cs="宋体"/>
                <w:sz w:val="18"/>
                <w:szCs w:val="18"/>
              </w:rPr>
              <w:t>1</w:t>
            </w:r>
          </w:p>
        </w:tc>
        <w:tc>
          <w:tcPr>
            <w:tcW w:w="1134" w:type="dxa"/>
            <w:tcBorders>
              <w:top w:val="nil"/>
              <w:left w:val="nil"/>
              <w:bottom w:val="single" w:color="auto" w:sz="4" w:space="0"/>
              <w:right w:val="single" w:color="auto" w:sz="4" w:space="0"/>
            </w:tcBorders>
            <w:noWrap/>
            <w:vAlign w:val="center"/>
          </w:tcPr>
          <w:p w14:paraId="146B0C44">
            <w:pPr>
              <w:widowControl/>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1DE97BF9">
            <w:pPr>
              <w:widowControl/>
              <w:jc w:val="center"/>
              <w:rPr>
                <w:rFonts w:hint="eastAsia" w:ascii="宋体" w:hAnsi="宋体" w:eastAsia="宋体" w:cs="宋体"/>
                <w:sz w:val="18"/>
                <w:szCs w:val="18"/>
              </w:rPr>
            </w:pPr>
            <w:r>
              <w:rPr>
                <w:rFonts w:hint="eastAsia" w:ascii="宋体" w:hAnsi="宋体" w:eastAsia="宋体" w:cs="宋体"/>
                <w:sz w:val="18"/>
                <w:szCs w:val="18"/>
              </w:rPr>
              <w:t xml:space="preserve"> =170人</w:t>
            </w:r>
          </w:p>
        </w:tc>
        <w:tc>
          <w:tcPr>
            <w:tcW w:w="720" w:type="dxa"/>
            <w:tcBorders>
              <w:top w:val="nil"/>
              <w:left w:val="nil"/>
              <w:bottom w:val="single" w:color="auto" w:sz="4" w:space="0"/>
              <w:right w:val="single" w:color="auto" w:sz="4" w:space="0"/>
            </w:tcBorders>
            <w:noWrap/>
            <w:vAlign w:val="center"/>
          </w:tcPr>
          <w:p w14:paraId="6DB647C4">
            <w:pPr>
              <w:widowControl/>
              <w:jc w:val="center"/>
              <w:rPr>
                <w:rFonts w:hint="eastAsia" w:ascii="宋体" w:hAnsi="宋体" w:eastAsia="宋体" w:cs="宋体"/>
                <w:sz w:val="18"/>
                <w:szCs w:val="18"/>
              </w:rPr>
            </w:pPr>
            <w:r>
              <w:rPr>
                <w:rFonts w:hint="eastAsia" w:ascii="宋体" w:hAnsi="宋体" w:eastAsia="宋体" w:cs="宋体"/>
                <w:sz w:val="18"/>
                <w:szCs w:val="18"/>
              </w:rPr>
              <w:t>23</w:t>
            </w:r>
          </w:p>
        </w:tc>
      </w:tr>
      <w:tr w14:paraId="4770306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850BD98">
            <w:pPr>
              <w:widowControl/>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F023747">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1716960">
            <w:pPr>
              <w:widowControl/>
              <w:jc w:val="center"/>
              <w:rPr>
                <w:rFonts w:hint="eastAsia" w:ascii="宋体" w:hAnsi="宋体" w:eastAsia="宋体" w:cs="宋体"/>
                <w:sz w:val="18"/>
                <w:szCs w:val="18"/>
              </w:rPr>
            </w:pPr>
            <w:r>
              <w:rPr>
                <w:rFonts w:hint="eastAsia" w:ascii="宋体" w:hAnsi="宋体" w:eastAsia="宋体" w:cs="宋体"/>
                <w:sz w:val="18"/>
                <w:szCs w:val="18"/>
              </w:rPr>
              <w:t>完成学年内结业学生人数</w:t>
            </w:r>
          </w:p>
        </w:tc>
        <w:tc>
          <w:tcPr>
            <w:tcW w:w="1242" w:type="dxa"/>
            <w:tcBorders>
              <w:top w:val="nil"/>
              <w:left w:val="nil"/>
              <w:bottom w:val="single" w:color="auto" w:sz="4" w:space="0"/>
              <w:right w:val="single" w:color="auto" w:sz="4" w:space="0"/>
            </w:tcBorders>
            <w:noWrap/>
            <w:vAlign w:val="center"/>
          </w:tcPr>
          <w:p w14:paraId="2238CD65">
            <w:pPr>
              <w:widowControl/>
              <w:jc w:val="center"/>
              <w:rPr>
                <w:rFonts w:hint="eastAsia" w:ascii="宋体" w:hAnsi="宋体" w:eastAsia="宋体" w:cs="宋体"/>
                <w:sz w:val="18"/>
                <w:szCs w:val="18"/>
              </w:rPr>
            </w:pPr>
            <w:r>
              <w:rPr>
                <w:rFonts w:hint="eastAsia" w:ascii="宋体" w:hAnsi="宋体" w:eastAsia="宋体" w:cs="宋体"/>
                <w:sz w:val="18"/>
                <w:szCs w:val="18"/>
              </w:rPr>
              <w:t>=149人</w:t>
            </w:r>
          </w:p>
        </w:tc>
        <w:tc>
          <w:tcPr>
            <w:tcW w:w="1417" w:type="dxa"/>
            <w:tcBorders>
              <w:top w:val="nil"/>
              <w:left w:val="nil"/>
              <w:bottom w:val="single" w:color="auto" w:sz="4" w:space="0"/>
              <w:right w:val="single" w:color="auto" w:sz="4" w:space="0"/>
            </w:tcBorders>
            <w:noWrap/>
            <w:vAlign w:val="center"/>
          </w:tcPr>
          <w:p w14:paraId="53A27B1A">
            <w:pPr>
              <w:widowControl/>
              <w:jc w:val="left"/>
              <w:rPr>
                <w:rFonts w:hint="eastAsia" w:ascii="宋体" w:hAnsi="宋体" w:eastAsia="宋体" w:cs="宋体"/>
                <w:sz w:val="18"/>
                <w:szCs w:val="18"/>
              </w:rPr>
            </w:pPr>
            <w:r>
              <w:rPr>
                <w:rFonts w:hint="eastAsia" w:ascii="宋体" w:hAnsi="宋体" w:eastAsia="宋体" w:cs="宋体"/>
                <w:sz w:val="18"/>
                <w:szCs w:val="18"/>
              </w:rPr>
              <w:t>1</w:t>
            </w:r>
          </w:p>
        </w:tc>
        <w:tc>
          <w:tcPr>
            <w:tcW w:w="1134" w:type="dxa"/>
            <w:tcBorders>
              <w:top w:val="nil"/>
              <w:left w:val="nil"/>
              <w:bottom w:val="single" w:color="auto" w:sz="4" w:space="0"/>
              <w:right w:val="single" w:color="auto" w:sz="4" w:space="0"/>
            </w:tcBorders>
            <w:noWrap/>
            <w:vAlign w:val="center"/>
          </w:tcPr>
          <w:p w14:paraId="527A7CA6">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1AD454E3">
            <w:pPr>
              <w:widowControl/>
              <w:jc w:val="center"/>
              <w:rPr>
                <w:rFonts w:hint="eastAsia" w:ascii="宋体" w:hAnsi="宋体" w:eastAsia="宋体" w:cs="宋体"/>
                <w:sz w:val="18"/>
                <w:szCs w:val="18"/>
              </w:rPr>
            </w:pPr>
            <w:r>
              <w:rPr>
                <w:rFonts w:hint="eastAsia" w:ascii="宋体" w:hAnsi="宋体" w:eastAsia="宋体" w:cs="宋体"/>
                <w:sz w:val="18"/>
                <w:szCs w:val="18"/>
              </w:rPr>
              <w:t>=149人</w:t>
            </w:r>
          </w:p>
        </w:tc>
        <w:tc>
          <w:tcPr>
            <w:tcW w:w="720" w:type="dxa"/>
            <w:tcBorders>
              <w:top w:val="nil"/>
              <w:left w:val="nil"/>
              <w:bottom w:val="single" w:color="auto" w:sz="4" w:space="0"/>
              <w:right w:val="single" w:color="auto" w:sz="4" w:space="0"/>
            </w:tcBorders>
            <w:noWrap/>
            <w:vAlign w:val="center"/>
          </w:tcPr>
          <w:p w14:paraId="0E270F54">
            <w:pPr>
              <w:widowControl/>
              <w:jc w:val="center"/>
              <w:rPr>
                <w:rFonts w:hint="eastAsia" w:ascii="宋体" w:hAnsi="宋体" w:eastAsia="宋体" w:cs="宋体"/>
                <w:sz w:val="18"/>
                <w:szCs w:val="18"/>
              </w:rPr>
            </w:pPr>
            <w:r>
              <w:rPr>
                <w:rFonts w:hint="eastAsia" w:ascii="宋体" w:hAnsi="宋体" w:eastAsia="宋体" w:cs="宋体"/>
                <w:sz w:val="18"/>
                <w:szCs w:val="18"/>
              </w:rPr>
              <w:t>22</w:t>
            </w:r>
          </w:p>
        </w:tc>
      </w:tr>
      <w:tr w14:paraId="0832434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8AC7902">
            <w:pPr>
              <w:widowControl/>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30C93B03">
            <w:pPr>
              <w:widowControl/>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6194353C">
            <w:pPr>
              <w:widowControl/>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0C3802EF">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24CC64EE">
            <w:pPr>
              <w:widowControl/>
              <w:jc w:val="left"/>
              <w:rPr>
                <w:rFonts w:hint="eastAsia" w:ascii="宋体" w:hAnsi="宋体" w:eastAsia="宋体" w:cs="宋体"/>
                <w:sz w:val="18"/>
                <w:szCs w:val="18"/>
              </w:rPr>
            </w:pPr>
            <w:r>
              <w:rPr>
                <w:rFonts w:hint="eastAsia" w:ascii="宋体" w:hAnsi="宋体" w:eastAsia="宋体" w:cs="宋体"/>
                <w:sz w:val="18"/>
                <w:szCs w:val="18"/>
              </w:rPr>
              <w:t>1</w:t>
            </w:r>
          </w:p>
        </w:tc>
        <w:tc>
          <w:tcPr>
            <w:tcW w:w="1134" w:type="dxa"/>
            <w:tcBorders>
              <w:top w:val="nil"/>
              <w:left w:val="nil"/>
              <w:bottom w:val="single" w:color="auto" w:sz="4" w:space="0"/>
              <w:right w:val="single" w:color="auto" w:sz="4" w:space="0"/>
            </w:tcBorders>
            <w:noWrap/>
            <w:vAlign w:val="center"/>
          </w:tcPr>
          <w:p w14:paraId="3278BF9F">
            <w:pPr>
              <w:widowControl/>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5D16C339">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F374068">
            <w:pPr>
              <w:widowControl/>
              <w:jc w:val="center"/>
              <w:rPr>
                <w:rFonts w:hint="eastAsia" w:ascii="宋体" w:hAnsi="宋体" w:eastAsia="宋体" w:cs="宋体"/>
                <w:sz w:val="18"/>
                <w:szCs w:val="18"/>
              </w:rPr>
            </w:pPr>
            <w:r>
              <w:rPr>
                <w:rFonts w:hint="eastAsia" w:ascii="宋体" w:hAnsi="宋体" w:eastAsia="宋体" w:cs="宋体"/>
                <w:sz w:val="18"/>
                <w:szCs w:val="18"/>
              </w:rPr>
              <w:t>22</w:t>
            </w:r>
          </w:p>
        </w:tc>
      </w:tr>
    </w:tbl>
    <w:p w14:paraId="08CBA3F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89F4AD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4348D4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79808DC">
            <w:pPr>
              <w:widowControl/>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DB356F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市三幼厨房烟道风机、消毒柜灯（新疆西藏等地区特殊补助资金昌州财教[2020]27号）</w:t>
            </w:r>
          </w:p>
        </w:tc>
      </w:tr>
      <w:tr w14:paraId="7FC40CA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EF84C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14443C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0E57B9F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5A801F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昌吉市第七幼儿园</w:t>
            </w:r>
          </w:p>
        </w:tc>
      </w:tr>
      <w:tr w14:paraId="51AECFD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B6B82D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21D387E">
            <w:pPr>
              <w:widowControl/>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BE5CAE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872477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53A229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EB7440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735E84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D426F4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812515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6BF6DF">
            <w:pPr>
              <w:widowControl/>
              <w:jc w:val="left"/>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C7F4D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0C5A5A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7.63</w:t>
            </w:r>
          </w:p>
        </w:tc>
        <w:tc>
          <w:tcPr>
            <w:tcW w:w="1968" w:type="dxa"/>
            <w:gridSpan w:val="3"/>
            <w:tcBorders>
              <w:top w:val="single" w:color="auto" w:sz="4" w:space="0"/>
              <w:left w:val="nil"/>
              <w:bottom w:val="single" w:color="auto" w:sz="4" w:space="0"/>
              <w:right w:val="single" w:color="auto" w:sz="4" w:space="0"/>
            </w:tcBorders>
            <w:vAlign w:val="center"/>
          </w:tcPr>
          <w:p w14:paraId="125EF55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7.63</w:t>
            </w:r>
          </w:p>
        </w:tc>
        <w:tc>
          <w:tcPr>
            <w:tcW w:w="1428" w:type="dxa"/>
            <w:gridSpan w:val="2"/>
            <w:tcBorders>
              <w:top w:val="single" w:color="auto" w:sz="4" w:space="0"/>
              <w:left w:val="nil"/>
              <w:bottom w:val="single" w:color="auto" w:sz="4" w:space="0"/>
              <w:right w:val="single" w:color="auto" w:sz="4" w:space="0"/>
            </w:tcBorders>
            <w:vAlign w:val="center"/>
          </w:tcPr>
          <w:p w14:paraId="78477B2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7.63</w:t>
            </w:r>
          </w:p>
        </w:tc>
        <w:tc>
          <w:tcPr>
            <w:tcW w:w="1372" w:type="dxa"/>
            <w:gridSpan w:val="2"/>
            <w:tcBorders>
              <w:top w:val="nil"/>
              <w:left w:val="nil"/>
              <w:bottom w:val="single" w:color="auto" w:sz="4" w:space="0"/>
              <w:right w:val="single" w:color="auto" w:sz="4" w:space="0"/>
            </w:tcBorders>
            <w:vAlign w:val="center"/>
          </w:tcPr>
          <w:p w14:paraId="11CF142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4E6416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6B4E51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58BBBE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6758D3D">
            <w:pPr>
              <w:widowControl/>
              <w:jc w:val="left"/>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0C4DC5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B8C17A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7.63</w:t>
            </w:r>
          </w:p>
        </w:tc>
        <w:tc>
          <w:tcPr>
            <w:tcW w:w="1968" w:type="dxa"/>
            <w:gridSpan w:val="3"/>
            <w:tcBorders>
              <w:top w:val="single" w:color="auto" w:sz="4" w:space="0"/>
              <w:left w:val="nil"/>
              <w:bottom w:val="single" w:color="auto" w:sz="4" w:space="0"/>
              <w:right w:val="single" w:color="auto" w:sz="4" w:space="0"/>
            </w:tcBorders>
            <w:vAlign w:val="center"/>
          </w:tcPr>
          <w:p w14:paraId="066D434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7.63</w:t>
            </w:r>
          </w:p>
        </w:tc>
        <w:tc>
          <w:tcPr>
            <w:tcW w:w="1428" w:type="dxa"/>
            <w:gridSpan w:val="2"/>
            <w:tcBorders>
              <w:top w:val="single" w:color="auto" w:sz="4" w:space="0"/>
              <w:left w:val="nil"/>
              <w:bottom w:val="single" w:color="auto" w:sz="4" w:space="0"/>
              <w:right w:val="single" w:color="auto" w:sz="4" w:space="0"/>
            </w:tcBorders>
            <w:vAlign w:val="center"/>
          </w:tcPr>
          <w:p w14:paraId="2E82D76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7.63</w:t>
            </w:r>
          </w:p>
        </w:tc>
        <w:tc>
          <w:tcPr>
            <w:tcW w:w="1372" w:type="dxa"/>
            <w:gridSpan w:val="2"/>
            <w:tcBorders>
              <w:top w:val="nil"/>
              <w:left w:val="nil"/>
              <w:bottom w:val="single" w:color="auto" w:sz="4" w:space="0"/>
              <w:right w:val="single" w:color="auto" w:sz="4" w:space="0"/>
            </w:tcBorders>
            <w:vAlign w:val="center"/>
          </w:tcPr>
          <w:p w14:paraId="00E3CD4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9553C7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100E8B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FEE7E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C93ADA">
            <w:pPr>
              <w:widowControl/>
              <w:jc w:val="left"/>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976B6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EE764B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83D519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A70796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3661CB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66D15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F825F8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BB5493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975072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AC020A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E9543D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C71291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7D5A39E">
            <w:pPr>
              <w:widowControl/>
              <w:jc w:val="left"/>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CA671E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根据昌州财预[2024]49号（昌市党财[2024]5号）文件精神，本年度拟投入：市三幼厨房烟道风机、消毒柜灯（新疆西藏等地区特殊补助资金昌州财教[2020]27号）项目资金7.63万元，计划2024年12月15前完成，通过本项目的实施，保障了学校正常运转、完成教学活动，持续改善了教育教学环境，提高了教职工和学生的满意度，使受益学生及职工满意度达到95%及以上同时进一步优化结构、深化改革、强化监管，切实提高教育经费使用效益。</w:t>
            </w:r>
          </w:p>
        </w:tc>
        <w:tc>
          <w:tcPr>
            <w:tcW w:w="5716" w:type="dxa"/>
            <w:gridSpan w:val="8"/>
            <w:tcBorders>
              <w:top w:val="single" w:color="auto" w:sz="4" w:space="0"/>
              <w:left w:val="nil"/>
              <w:bottom w:val="single" w:color="auto" w:sz="4" w:space="0"/>
              <w:right w:val="single" w:color="auto" w:sz="4" w:space="0"/>
            </w:tcBorders>
            <w:vAlign w:val="center"/>
          </w:tcPr>
          <w:p w14:paraId="4EB978E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31日，该项目实际完成7.63万，购置厨房烟道风机及配套材料4批，购置消毒柜及其他厨房电器14种；通过该项目的实施，有效提升了义务教育办学条件，推动教育均衡发展，有利于改善学校的办学条件，优化教育资源配置，使城乡之间，区域之间的教育发展更加均衡，有助于提高整体教育质量，同时体现社会关爱与担当，体现了国家和社会对特殊群体学生的关爱与重视，有助于形成社会关心支持教育，使他们能更专注于学业，激发学习兴趣和潜能，提高综合素质，为他们未来的发展和成长奠定坚实的基础，同时也促进了教育公平、缩小教育差距。</w:t>
            </w:r>
          </w:p>
        </w:tc>
      </w:tr>
      <w:tr w14:paraId="4FEE5E8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4A5F9A0">
            <w:pPr>
              <w:widowControl/>
              <w:jc w:val="left"/>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A61D05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5303F2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3F4299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32C2C0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73E02C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DC082F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331DFB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A5F860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BE0330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52333E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C0FA683">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77D24F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16890A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16165F5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6DD96E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709" w:type="dxa"/>
            <w:vMerge w:val="restart"/>
            <w:tcBorders>
              <w:top w:val="nil"/>
              <w:left w:val="nil"/>
              <w:right w:val="single" w:color="auto" w:sz="4" w:space="0"/>
            </w:tcBorders>
            <w:vAlign w:val="center"/>
          </w:tcPr>
          <w:p w14:paraId="2C41B06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E5EA15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207ACA8">
            <w:pPr>
              <w:widowControl/>
              <w:jc w:val="left"/>
              <w:rPr>
                <w:rFonts w:hint="eastAsia" w:ascii="等线" w:hAnsi="等线" w:eastAsia="等线" w:cs="Times New Roman"/>
                <w:color w:val="000000"/>
                <w:kern w:val="2"/>
                <w:sz w:val="18"/>
                <w:szCs w:val="18"/>
                <w14:ligatures w14:val="standardContextual"/>
              </w:rPr>
            </w:pPr>
            <w:r>
              <w:rPr>
                <w:rFonts w:hint="eastAsia" w:ascii="等线" w:hAnsi="等线" w:eastAsia="等线" w:cs="Times New Roman"/>
                <w:color w:val="000000"/>
                <w:kern w:val="2"/>
                <w:sz w:val="18"/>
                <w:szCs w:val="18"/>
                <w14:ligatures w14:val="standardContextual"/>
              </w:rPr>
              <w:t>购置厨房烟道风机及配套材料</w:t>
            </w:r>
          </w:p>
        </w:tc>
        <w:tc>
          <w:tcPr>
            <w:tcW w:w="627" w:type="dxa"/>
            <w:tcBorders>
              <w:top w:val="nil"/>
              <w:left w:val="nil"/>
              <w:bottom w:val="single" w:color="auto" w:sz="4" w:space="0"/>
              <w:right w:val="single" w:color="auto" w:sz="4" w:space="0"/>
            </w:tcBorders>
            <w:vAlign w:val="center"/>
          </w:tcPr>
          <w:p w14:paraId="1DC9642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18B45C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=4批</w:t>
            </w:r>
          </w:p>
        </w:tc>
        <w:tc>
          <w:tcPr>
            <w:tcW w:w="728" w:type="dxa"/>
            <w:tcBorders>
              <w:top w:val="nil"/>
              <w:left w:val="nil"/>
              <w:bottom w:val="single" w:color="auto" w:sz="4" w:space="0"/>
              <w:right w:val="single" w:color="auto" w:sz="4" w:space="0"/>
            </w:tcBorders>
            <w:vAlign w:val="center"/>
          </w:tcPr>
          <w:p w14:paraId="714C75D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=4批</w:t>
            </w:r>
          </w:p>
        </w:tc>
        <w:tc>
          <w:tcPr>
            <w:tcW w:w="637" w:type="dxa"/>
            <w:tcBorders>
              <w:top w:val="nil"/>
              <w:left w:val="nil"/>
              <w:bottom w:val="single" w:color="auto" w:sz="4" w:space="0"/>
              <w:right w:val="single" w:color="auto" w:sz="4" w:space="0"/>
            </w:tcBorders>
            <w:vAlign w:val="center"/>
          </w:tcPr>
          <w:p w14:paraId="7BACF1F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72AF6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60044A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912D1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F7564D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FC3F2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32D56F2">
            <w:pPr>
              <w:widowControl/>
              <w:jc w:val="center"/>
              <w:rPr>
                <w:rFonts w:hint="eastAsia" w:ascii="等线" w:hAnsi="等线" w:eastAsia="等线" w:cs="Times New Roman"/>
                <w:color w:val="000000"/>
                <w:kern w:val="2"/>
                <w:sz w:val="18"/>
                <w:szCs w:val="18"/>
                <w14:ligatures w14:val="standardContextual"/>
              </w:rPr>
            </w:pPr>
          </w:p>
        </w:tc>
      </w:tr>
      <w:tr w14:paraId="5343F31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6FD1D9">
            <w:pPr>
              <w:widowControl/>
              <w:jc w:val="left"/>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AA6C58D">
            <w:pPr>
              <w:widowControl/>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E9BC4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5EA32A">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购置消毒柜及其他厨房电器</w:t>
            </w:r>
          </w:p>
        </w:tc>
        <w:tc>
          <w:tcPr>
            <w:tcW w:w="627" w:type="dxa"/>
            <w:tcBorders>
              <w:top w:val="nil"/>
              <w:left w:val="nil"/>
              <w:bottom w:val="single" w:color="auto" w:sz="4" w:space="0"/>
              <w:right w:val="single" w:color="auto" w:sz="4" w:space="0"/>
            </w:tcBorders>
            <w:vAlign w:val="center"/>
          </w:tcPr>
          <w:p w14:paraId="7265BCC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219EA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=14种</w:t>
            </w:r>
          </w:p>
        </w:tc>
        <w:tc>
          <w:tcPr>
            <w:tcW w:w="728" w:type="dxa"/>
            <w:tcBorders>
              <w:top w:val="nil"/>
              <w:left w:val="nil"/>
              <w:bottom w:val="single" w:color="auto" w:sz="4" w:space="0"/>
              <w:right w:val="single" w:color="auto" w:sz="4" w:space="0"/>
            </w:tcBorders>
            <w:vAlign w:val="center"/>
          </w:tcPr>
          <w:p w14:paraId="69F8D4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=14种</w:t>
            </w:r>
          </w:p>
        </w:tc>
        <w:tc>
          <w:tcPr>
            <w:tcW w:w="637" w:type="dxa"/>
            <w:tcBorders>
              <w:top w:val="nil"/>
              <w:left w:val="nil"/>
              <w:bottom w:val="single" w:color="auto" w:sz="4" w:space="0"/>
              <w:right w:val="single" w:color="auto" w:sz="4" w:space="0"/>
            </w:tcBorders>
            <w:vAlign w:val="center"/>
          </w:tcPr>
          <w:p w14:paraId="3D604DF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AB71A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F7FB1D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54CB4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3D2CA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FCE2C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DF5362A">
            <w:pPr>
              <w:widowControl/>
              <w:jc w:val="center"/>
              <w:rPr>
                <w:rFonts w:hint="eastAsia" w:ascii="宋体" w:hAnsi="宋体" w:eastAsia="宋体" w:cs="宋体"/>
                <w:color w:val="000000"/>
                <w:sz w:val="18"/>
                <w:szCs w:val="18"/>
              </w:rPr>
            </w:pPr>
          </w:p>
        </w:tc>
      </w:tr>
      <w:tr w14:paraId="3E9BF7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469B67">
            <w:pPr>
              <w:widowControl/>
              <w:jc w:val="left"/>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3967CCB">
            <w:pPr>
              <w:widowControl/>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7D457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7AF9079">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设备验收合格率</w:t>
            </w:r>
          </w:p>
        </w:tc>
        <w:tc>
          <w:tcPr>
            <w:tcW w:w="627" w:type="dxa"/>
            <w:tcBorders>
              <w:top w:val="nil"/>
              <w:left w:val="nil"/>
              <w:bottom w:val="single" w:color="auto" w:sz="4" w:space="0"/>
              <w:right w:val="single" w:color="auto" w:sz="4" w:space="0"/>
            </w:tcBorders>
            <w:vAlign w:val="center"/>
          </w:tcPr>
          <w:p w14:paraId="7F23FD1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85193D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F976B0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EDAC9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33780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4D3A3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E35D3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F68C1F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9BD62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2DEDD7C">
            <w:pPr>
              <w:widowControl/>
              <w:jc w:val="center"/>
              <w:rPr>
                <w:rFonts w:hint="eastAsia" w:ascii="宋体" w:hAnsi="宋体" w:eastAsia="宋体" w:cs="宋体"/>
                <w:color w:val="000000"/>
                <w:sz w:val="18"/>
                <w:szCs w:val="18"/>
              </w:rPr>
            </w:pPr>
          </w:p>
        </w:tc>
      </w:tr>
      <w:tr w14:paraId="1C07305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250FB0">
            <w:pPr>
              <w:widowControl/>
              <w:jc w:val="left"/>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D860BED">
            <w:pPr>
              <w:widowControl/>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BEFC3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937D45F">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项目完成时效</w:t>
            </w:r>
          </w:p>
        </w:tc>
        <w:tc>
          <w:tcPr>
            <w:tcW w:w="627" w:type="dxa"/>
            <w:tcBorders>
              <w:top w:val="nil"/>
              <w:left w:val="nil"/>
              <w:bottom w:val="single" w:color="auto" w:sz="4" w:space="0"/>
              <w:right w:val="single" w:color="auto" w:sz="4" w:space="0"/>
            </w:tcBorders>
            <w:vAlign w:val="center"/>
          </w:tcPr>
          <w:p w14:paraId="2D45B09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46A2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=12月15号已完成</w:t>
            </w:r>
          </w:p>
        </w:tc>
        <w:tc>
          <w:tcPr>
            <w:tcW w:w="728" w:type="dxa"/>
            <w:tcBorders>
              <w:top w:val="nil"/>
              <w:left w:val="nil"/>
              <w:bottom w:val="single" w:color="auto" w:sz="4" w:space="0"/>
              <w:right w:val="single" w:color="auto" w:sz="4" w:space="0"/>
            </w:tcBorders>
            <w:vAlign w:val="center"/>
          </w:tcPr>
          <w:p w14:paraId="5232DD7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=12月15号已完成</w:t>
            </w:r>
          </w:p>
        </w:tc>
        <w:tc>
          <w:tcPr>
            <w:tcW w:w="637" w:type="dxa"/>
            <w:tcBorders>
              <w:top w:val="nil"/>
              <w:left w:val="nil"/>
              <w:bottom w:val="single" w:color="auto" w:sz="4" w:space="0"/>
              <w:right w:val="single" w:color="auto" w:sz="4" w:space="0"/>
            </w:tcBorders>
            <w:vAlign w:val="center"/>
          </w:tcPr>
          <w:p w14:paraId="03C666A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D3F8C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1287C2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045EAF">
            <w:pPr>
              <w:widowControl/>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008923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D4C39B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43A3423">
            <w:pPr>
              <w:widowControl/>
              <w:jc w:val="center"/>
              <w:rPr>
                <w:rFonts w:hint="eastAsia" w:ascii="宋体" w:hAnsi="宋体" w:eastAsia="宋体" w:cs="宋体"/>
                <w:color w:val="000000"/>
                <w:sz w:val="18"/>
                <w:szCs w:val="18"/>
              </w:rPr>
            </w:pPr>
          </w:p>
        </w:tc>
      </w:tr>
      <w:tr w14:paraId="3050D8C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37F4A15">
            <w:pPr>
              <w:widowControl/>
              <w:jc w:val="left"/>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8C6C1C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9C0279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D5515F6">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支付烟道风机及配套材料费用</w:t>
            </w:r>
          </w:p>
        </w:tc>
        <w:tc>
          <w:tcPr>
            <w:tcW w:w="627" w:type="dxa"/>
            <w:tcBorders>
              <w:top w:val="nil"/>
              <w:left w:val="nil"/>
              <w:bottom w:val="single" w:color="auto" w:sz="4" w:space="0"/>
              <w:right w:val="single" w:color="auto" w:sz="4" w:space="0"/>
            </w:tcBorders>
            <w:vAlign w:val="center"/>
          </w:tcPr>
          <w:p w14:paraId="087C000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F89FB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=35090元</w:t>
            </w:r>
          </w:p>
        </w:tc>
        <w:tc>
          <w:tcPr>
            <w:tcW w:w="728" w:type="dxa"/>
            <w:tcBorders>
              <w:top w:val="nil"/>
              <w:left w:val="nil"/>
              <w:bottom w:val="single" w:color="auto" w:sz="4" w:space="0"/>
              <w:right w:val="single" w:color="auto" w:sz="4" w:space="0"/>
            </w:tcBorders>
            <w:vAlign w:val="center"/>
          </w:tcPr>
          <w:p w14:paraId="5646D95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=35090元</w:t>
            </w:r>
          </w:p>
        </w:tc>
        <w:tc>
          <w:tcPr>
            <w:tcW w:w="637" w:type="dxa"/>
            <w:tcBorders>
              <w:top w:val="nil"/>
              <w:left w:val="nil"/>
              <w:bottom w:val="single" w:color="auto" w:sz="4" w:space="0"/>
              <w:right w:val="single" w:color="auto" w:sz="4" w:space="0"/>
            </w:tcBorders>
            <w:vAlign w:val="center"/>
          </w:tcPr>
          <w:p w14:paraId="197495D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94B03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9BD74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685D5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8D6360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12F6D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4B4A271">
            <w:pPr>
              <w:widowControl/>
              <w:jc w:val="center"/>
              <w:rPr>
                <w:rFonts w:hint="eastAsia" w:ascii="宋体" w:hAnsi="宋体" w:eastAsia="宋体" w:cs="宋体"/>
                <w:color w:val="000000"/>
                <w:sz w:val="18"/>
                <w:szCs w:val="18"/>
              </w:rPr>
            </w:pPr>
          </w:p>
        </w:tc>
      </w:tr>
      <w:tr w14:paraId="7D9FD6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E476653">
            <w:pPr>
              <w:widowControl/>
              <w:jc w:val="left"/>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7A2CE1D">
            <w:pPr>
              <w:widowControl/>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F0DCD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D02BF37">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支付消毒柜及其他厨房电器费用</w:t>
            </w:r>
          </w:p>
        </w:tc>
        <w:tc>
          <w:tcPr>
            <w:tcW w:w="627" w:type="dxa"/>
            <w:tcBorders>
              <w:top w:val="nil"/>
              <w:left w:val="nil"/>
              <w:bottom w:val="single" w:color="auto" w:sz="4" w:space="0"/>
              <w:right w:val="single" w:color="auto" w:sz="4" w:space="0"/>
            </w:tcBorders>
            <w:vAlign w:val="center"/>
          </w:tcPr>
          <w:p w14:paraId="07958A5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458834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=41210元</w:t>
            </w:r>
          </w:p>
        </w:tc>
        <w:tc>
          <w:tcPr>
            <w:tcW w:w="728" w:type="dxa"/>
            <w:tcBorders>
              <w:top w:val="nil"/>
              <w:left w:val="nil"/>
              <w:bottom w:val="single" w:color="auto" w:sz="4" w:space="0"/>
              <w:right w:val="single" w:color="auto" w:sz="4" w:space="0"/>
            </w:tcBorders>
            <w:vAlign w:val="center"/>
          </w:tcPr>
          <w:p w14:paraId="7060EAC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=41210元</w:t>
            </w:r>
          </w:p>
        </w:tc>
        <w:tc>
          <w:tcPr>
            <w:tcW w:w="637" w:type="dxa"/>
            <w:tcBorders>
              <w:top w:val="nil"/>
              <w:left w:val="nil"/>
              <w:bottom w:val="single" w:color="auto" w:sz="4" w:space="0"/>
              <w:right w:val="single" w:color="auto" w:sz="4" w:space="0"/>
            </w:tcBorders>
            <w:vAlign w:val="center"/>
          </w:tcPr>
          <w:p w14:paraId="4337A54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2388C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0D34FA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C391A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5ADC01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C3AD7E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B658016">
            <w:pPr>
              <w:widowControl/>
              <w:jc w:val="center"/>
              <w:rPr>
                <w:rFonts w:hint="eastAsia" w:ascii="宋体" w:hAnsi="宋体" w:eastAsia="宋体" w:cs="宋体"/>
                <w:color w:val="000000"/>
                <w:sz w:val="18"/>
                <w:szCs w:val="18"/>
              </w:rPr>
            </w:pPr>
          </w:p>
        </w:tc>
      </w:tr>
      <w:tr w14:paraId="74E058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350C90">
            <w:pPr>
              <w:widowControl/>
              <w:jc w:val="left"/>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664C1B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ABB18B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131CF67">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保障学校正常运转 完成教学活动</w:t>
            </w:r>
          </w:p>
        </w:tc>
        <w:tc>
          <w:tcPr>
            <w:tcW w:w="627" w:type="dxa"/>
            <w:tcBorders>
              <w:top w:val="nil"/>
              <w:left w:val="nil"/>
              <w:bottom w:val="single" w:color="auto" w:sz="4" w:space="0"/>
              <w:right w:val="single" w:color="auto" w:sz="4" w:space="0"/>
            </w:tcBorders>
            <w:vAlign w:val="center"/>
          </w:tcPr>
          <w:p w14:paraId="0B4C376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310221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0EDCFE3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7A93C0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DAB30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1E24B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63338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040F4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40DAAF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18DF8D9">
            <w:pPr>
              <w:widowControl/>
              <w:jc w:val="center"/>
              <w:rPr>
                <w:rFonts w:hint="eastAsia" w:ascii="宋体" w:hAnsi="宋体" w:eastAsia="宋体" w:cs="宋体"/>
                <w:color w:val="000000"/>
                <w:sz w:val="18"/>
                <w:szCs w:val="18"/>
              </w:rPr>
            </w:pPr>
          </w:p>
        </w:tc>
      </w:tr>
      <w:tr w14:paraId="1B43F9C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E73C19B">
            <w:pPr>
              <w:widowControl/>
              <w:jc w:val="left"/>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4A85D48">
            <w:pPr>
              <w:widowControl/>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247E7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AD15A0B">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持续改善教育教学环境</w:t>
            </w:r>
          </w:p>
        </w:tc>
        <w:tc>
          <w:tcPr>
            <w:tcW w:w="627" w:type="dxa"/>
            <w:tcBorders>
              <w:top w:val="nil"/>
              <w:left w:val="nil"/>
              <w:bottom w:val="single" w:color="auto" w:sz="4" w:space="0"/>
              <w:right w:val="single" w:color="auto" w:sz="4" w:space="0"/>
            </w:tcBorders>
            <w:vAlign w:val="center"/>
          </w:tcPr>
          <w:p w14:paraId="38ADDC1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F8CAB9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持续改善</w:t>
            </w:r>
          </w:p>
        </w:tc>
        <w:tc>
          <w:tcPr>
            <w:tcW w:w="728" w:type="dxa"/>
            <w:tcBorders>
              <w:top w:val="nil"/>
              <w:left w:val="nil"/>
              <w:bottom w:val="single" w:color="auto" w:sz="4" w:space="0"/>
              <w:right w:val="single" w:color="auto" w:sz="4" w:space="0"/>
            </w:tcBorders>
            <w:vAlign w:val="center"/>
          </w:tcPr>
          <w:p w14:paraId="7066429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79D628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C0F70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D9A34E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47D0F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A11623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A6B7D3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A97395C">
            <w:pPr>
              <w:widowControl/>
              <w:jc w:val="center"/>
              <w:rPr>
                <w:rFonts w:hint="eastAsia" w:ascii="宋体" w:hAnsi="宋体" w:eastAsia="宋体" w:cs="宋体"/>
                <w:color w:val="000000"/>
                <w:sz w:val="18"/>
                <w:szCs w:val="18"/>
              </w:rPr>
            </w:pPr>
          </w:p>
        </w:tc>
      </w:tr>
      <w:tr w14:paraId="3CE969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82C65A">
            <w:pPr>
              <w:widowControl/>
              <w:jc w:val="left"/>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C3FE3D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275160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F41A06B">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受益学生满意度</w:t>
            </w:r>
          </w:p>
        </w:tc>
        <w:tc>
          <w:tcPr>
            <w:tcW w:w="627" w:type="dxa"/>
            <w:tcBorders>
              <w:top w:val="nil"/>
              <w:left w:val="nil"/>
              <w:bottom w:val="single" w:color="auto" w:sz="4" w:space="0"/>
              <w:right w:val="single" w:color="auto" w:sz="4" w:space="0"/>
            </w:tcBorders>
            <w:vAlign w:val="center"/>
          </w:tcPr>
          <w:p w14:paraId="4B41EC2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D05C7B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82DE1A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8115FA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3EC43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3835572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98D8A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B9878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209AA3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EAC9BDF">
            <w:pPr>
              <w:widowControl/>
              <w:jc w:val="center"/>
              <w:rPr>
                <w:rFonts w:hint="eastAsia" w:ascii="宋体" w:hAnsi="宋体" w:eastAsia="宋体" w:cs="宋体"/>
                <w:color w:val="000000"/>
                <w:sz w:val="18"/>
                <w:szCs w:val="18"/>
              </w:rPr>
            </w:pPr>
          </w:p>
        </w:tc>
      </w:tr>
      <w:tr w14:paraId="5E0E1E6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34C1ABE">
            <w:pPr>
              <w:widowControl/>
              <w:jc w:val="left"/>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BD01C1E">
            <w:pPr>
              <w:widowControl/>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DD4F1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220015E">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教职工满意度</w:t>
            </w:r>
          </w:p>
        </w:tc>
        <w:tc>
          <w:tcPr>
            <w:tcW w:w="627" w:type="dxa"/>
            <w:tcBorders>
              <w:top w:val="nil"/>
              <w:left w:val="nil"/>
              <w:bottom w:val="single" w:color="auto" w:sz="4" w:space="0"/>
              <w:right w:val="single" w:color="auto" w:sz="4" w:space="0"/>
            </w:tcBorders>
            <w:vAlign w:val="center"/>
          </w:tcPr>
          <w:p w14:paraId="4A2FB25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C46A94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0ADF79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ACE10E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60D81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133E9A1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4F0C1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E3029D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3E4337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05E5D47">
            <w:pPr>
              <w:widowControl/>
              <w:jc w:val="center"/>
              <w:rPr>
                <w:rFonts w:hint="eastAsia" w:ascii="宋体" w:hAnsi="宋体" w:eastAsia="宋体" w:cs="宋体"/>
                <w:color w:val="000000"/>
                <w:sz w:val="18"/>
                <w:szCs w:val="18"/>
              </w:rPr>
            </w:pPr>
          </w:p>
        </w:tc>
      </w:tr>
      <w:tr w14:paraId="6B719CC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978520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EED501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318F3A7">
            <w:pPr>
              <w:widowControl/>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E697244">
            <w:pPr>
              <w:widowControl/>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2AE8F28">
            <w:pPr>
              <w:widowControl/>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57FDE9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8BE140E">
            <w:pPr>
              <w:widowControl/>
              <w:jc w:val="left"/>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4185882">
            <w:pPr>
              <w:widowControl/>
              <w:jc w:val="left"/>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6EA02F5">
            <w:pPr>
              <w:widowControl/>
              <w:jc w:val="left"/>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8D63EE6">
            <w:pPr>
              <w:widowControl/>
              <w:jc w:val="left"/>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56DDF6C">
            <w:pPr>
              <w:widowControl/>
              <w:jc w:val="left"/>
              <w:rPr>
                <w:rFonts w:hint="eastAsia" w:ascii="宋体" w:hAnsi="宋体" w:eastAsia="宋体" w:cs="宋体"/>
                <w:color w:val="000000"/>
                <w:sz w:val="18"/>
                <w:szCs w:val="18"/>
              </w:rPr>
            </w:pPr>
          </w:p>
        </w:tc>
      </w:tr>
      <w:bookmarkEnd w:id="0"/>
    </w:tbl>
    <w:p w14:paraId="3DCB76C9">
      <w:pPr>
        <w:widowControl/>
        <w:ind w:firstLine="640" w:firstLineChars="200"/>
        <w:rPr>
          <w:rFonts w:ascii="仿宋_GB2312" w:eastAsia="仿宋_GB2312"/>
          <w:sz w:val="32"/>
          <w:szCs w:val="32"/>
        </w:rPr>
      </w:pPr>
    </w:p>
    <w:p w14:paraId="1FD41FA5">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2BF6EB0F">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14:paraId="3DD9333D">
      <w:pPr>
        <w:widowControl/>
        <w:ind w:firstLine="640" w:firstLineChars="200"/>
        <w:jc w:val="left"/>
        <w:rPr>
          <w:rFonts w:ascii="仿宋_GB2312" w:eastAsia="仿宋_GB2312"/>
          <w:sz w:val="32"/>
          <w:szCs w:val="32"/>
        </w:rPr>
      </w:pPr>
    </w:p>
    <w:p w14:paraId="47A53197">
      <w:pPr>
        <w:widowControl/>
      </w:pPr>
      <w:r>
        <w:rPr>
          <w:sz w:val="0"/>
          <w:szCs w:val="0"/>
        </w:rPr>
        <w:br w:type="page"/>
      </w:r>
    </w:p>
    <w:p w14:paraId="6B077138">
      <w:pPr>
        <w:widowControl/>
        <w:jc w:val="center"/>
        <w:outlineLvl w:val="0"/>
        <w:rPr>
          <w:rFonts w:ascii="黑体" w:eastAsia="黑体"/>
          <w:sz w:val="32"/>
          <w:szCs w:val="32"/>
        </w:rPr>
      </w:pPr>
      <w:r>
        <w:rPr>
          <w:rFonts w:ascii="黑体" w:eastAsia="黑体"/>
          <w:sz w:val="32"/>
          <w:szCs w:val="32"/>
        </w:rPr>
        <w:t>第三部分 专业名词解释</w:t>
      </w:r>
    </w:p>
    <w:p w14:paraId="68B22CF2">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513F1BFB">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50BD20A2">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4E07FD6">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01A76EC9">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679009F">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2021ABBF">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2977EDD">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5A5A3B">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1442791D">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4C77A18B">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7BDAC514">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71639859">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2919C7">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3ECC2E1B">
      <w:pPr>
        <w:widowControl/>
      </w:pPr>
      <w:r>
        <w:rPr>
          <w:sz w:val="0"/>
          <w:szCs w:val="0"/>
        </w:rPr>
        <w:br w:type="page"/>
      </w:r>
    </w:p>
    <w:p w14:paraId="249BE475">
      <w:pPr>
        <w:widowControl/>
        <w:jc w:val="center"/>
        <w:outlineLvl w:val="0"/>
        <w:rPr>
          <w:rFonts w:ascii="黑体" w:eastAsia="黑体"/>
          <w:sz w:val="32"/>
          <w:szCs w:val="32"/>
        </w:rPr>
      </w:pPr>
      <w:r>
        <w:rPr>
          <w:rFonts w:ascii="黑体" w:eastAsia="黑体"/>
          <w:sz w:val="32"/>
          <w:szCs w:val="32"/>
        </w:rPr>
        <w:t>第四部分 部门决算报表（见附表）</w:t>
      </w:r>
    </w:p>
    <w:p w14:paraId="374604D6">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71C65B44">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1239D68A">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089F8885">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76ADA79C">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3E0D34EA">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513AD72">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27E6FD6D">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A28BF9E">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compat>
    <w:useFELayout/>
    <w:splitPgBreakAndParaMark/>
    <w:compatSetting w:name="compatibilityMode" w:uri="http://schemas.microsoft.com/office/word" w:val="12"/>
  </w:compat>
  <w:rsids>
    <w:rsidRoot w:val="00DA3481"/>
    <w:rsid w:val="004E43BF"/>
    <w:rsid w:val="00CA69EA"/>
    <w:rsid w:val="00DA3481"/>
    <w:rsid w:val="00F83805"/>
    <w:rsid w:val="03CE724A"/>
    <w:rsid w:val="0C923886"/>
    <w:rsid w:val="0D7305E2"/>
    <w:rsid w:val="113022DE"/>
    <w:rsid w:val="114C494B"/>
    <w:rsid w:val="125C0BBE"/>
    <w:rsid w:val="126B7053"/>
    <w:rsid w:val="1A3E2D1A"/>
    <w:rsid w:val="1D33076D"/>
    <w:rsid w:val="1E95510B"/>
    <w:rsid w:val="255D2939"/>
    <w:rsid w:val="2ED81174"/>
    <w:rsid w:val="31975317"/>
    <w:rsid w:val="35D07049"/>
    <w:rsid w:val="363C7066"/>
    <w:rsid w:val="429F5DD9"/>
    <w:rsid w:val="436F3964"/>
    <w:rsid w:val="50D945BC"/>
    <w:rsid w:val="56B51C18"/>
    <w:rsid w:val="5C361105"/>
    <w:rsid w:val="5E1831B8"/>
    <w:rsid w:val="5E887A43"/>
    <w:rsid w:val="5F180F96"/>
    <w:rsid w:val="64033FC2"/>
    <w:rsid w:val="706353EF"/>
    <w:rsid w:val="70E909E4"/>
    <w:rsid w:val="72CB51FC"/>
    <w:rsid w:val="76A33AEA"/>
    <w:rsid w:val="79770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6469</Words>
  <Characters>7276</Characters>
  <Lines>455</Lines>
  <Paragraphs>369</Paragraphs>
  <TotalTime>7</TotalTime>
  <ScaleCrop>false</ScaleCrop>
  <LinksUpToDate>false</LinksUpToDate>
  <CharactersWithSpaces>7290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2025-09-01T10:09:00Z</dcterms:created>
  <dc:creator>回上.LAPTOP-7R4U860U</dc:creator>
  <cp:lastModifiedBy>11点28分不打烊</cp:lastModifiedBy>
  <dcterms:modified xsi:type="dcterms:W3CDTF">2025-11-20T04:43:01Z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eyJoZGlkIjoiNTlkZWQ3ZWZiOGVhYTk1OTExMjBmYWQ4ZjAxNTk5MTciLCJ1c2VySWQiOiI5MTU3NDI2MDkifQ==</vt:lpwstr>
  </property>
  <property fmtid="{D5CDD505-2E9C-101B-9397-08002B2CF9AE}" pid="4" name="ICV">
    <vt:lpwstr>C6581FE58DA14566A1AE4C3F14CECE29_12</vt:lpwstr>
  </property>
</Properties>
</file>