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816EC" w14:textId="77777777" w:rsidR="0001615B" w:rsidRDefault="0001615B">
      <w:pPr>
        <w:spacing w:after="0" w:line="240" w:lineRule="auto"/>
        <w:rPr>
          <w:rFonts w:ascii="宋体" w:eastAsia="宋体"/>
          <w:sz w:val="32"/>
          <w:szCs w:val="32"/>
        </w:rPr>
      </w:pPr>
    </w:p>
    <w:p w14:paraId="65942C94" w14:textId="77777777" w:rsidR="0001615B" w:rsidRDefault="0001615B">
      <w:pPr>
        <w:spacing w:after="0" w:line="240" w:lineRule="auto"/>
        <w:rPr>
          <w:rFonts w:ascii="宋体" w:eastAsia="宋体"/>
          <w:sz w:val="44"/>
          <w:szCs w:val="44"/>
        </w:rPr>
      </w:pPr>
    </w:p>
    <w:p w14:paraId="007F2999" w14:textId="77777777" w:rsidR="0001615B" w:rsidRDefault="0001615B">
      <w:pPr>
        <w:spacing w:after="0" w:line="240" w:lineRule="auto"/>
        <w:rPr>
          <w:rFonts w:ascii="宋体" w:eastAsia="宋体"/>
          <w:sz w:val="44"/>
          <w:szCs w:val="44"/>
        </w:rPr>
      </w:pPr>
    </w:p>
    <w:p w14:paraId="296B816A" w14:textId="77777777" w:rsidR="0001615B" w:rsidRDefault="0001615B">
      <w:pPr>
        <w:spacing w:after="0" w:line="240" w:lineRule="auto"/>
        <w:rPr>
          <w:rFonts w:ascii="宋体" w:eastAsia="宋体"/>
          <w:sz w:val="44"/>
          <w:szCs w:val="44"/>
        </w:rPr>
      </w:pPr>
    </w:p>
    <w:p w14:paraId="1C508725" w14:textId="77777777" w:rsidR="0001615B"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昌吉市第二幼儿园</w:t>
      </w:r>
    </w:p>
    <w:p w14:paraId="585D47EE" w14:textId="77777777" w:rsidR="0001615B"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D9D6179" w14:textId="77777777" w:rsidR="0001615B" w:rsidRDefault="00000000">
      <w:pPr>
        <w:rPr>
          <w:lang w:eastAsia="zh-CN"/>
        </w:rPr>
      </w:pPr>
      <w:r>
        <w:rPr>
          <w:sz w:val="0"/>
          <w:szCs w:val="0"/>
          <w:lang w:eastAsia="zh-CN"/>
        </w:rPr>
        <w:br w:type="page"/>
      </w:r>
    </w:p>
    <w:p w14:paraId="69B11F3E" w14:textId="77777777" w:rsidR="0001615B"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4B0887E2" w14:textId="77777777" w:rsidR="0001615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2151B455"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67FE271"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31EE06C" w14:textId="77777777" w:rsidR="0001615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2943AC4"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B9F5F81"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C1F8A5D"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10BFBF5"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3CDCE9A"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97BD9AA"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F5A2200"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FD752A3"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289FBA0"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286FCBF"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F9AFA23"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77AE6E1"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0F84198"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EF947B8"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C416670"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403B59F"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D5B73ED"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87AF270"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FB37406" w14:textId="77777777" w:rsidR="0001615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276F301" w14:textId="77777777" w:rsidR="0001615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8554BB3"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B45DFCE"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2A7AA25"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5370BC7"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BCBD64B"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5E8D589"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054BDE3"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0E05947F"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71E7640" w14:textId="77777777" w:rsidR="0001615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6AB2BE0" w14:textId="77777777" w:rsidR="0001615B" w:rsidRDefault="00000000">
      <w:pPr>
        <w:rPr>
          <w:lang w:eastAsia="zh-CN"/>
        </w:rPr>
      </w:pPr>
      <w:r>
        <w:rPr>
          <w:sz w:val="0"/>
          <w:szCs w:val="0"/>
          <w:lang w:eastAsia="zh-CN"/>
        </w:rPr>
        <w:br w:type="page"/>
      </w:r>
    </w:p>
    <w:p w14:paraId="5FBEF3CF" w14:textId="77777777" w:rsidR="0001615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3B9C3852"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73297FBF"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贯彻执行国家对幼儿保育和教育的路线、方针、政策。为学龄前儿童提供保育和教育服务。本着保育和教育相结合的原则,对幼儿实施德、智、体、美全面发展的教育,促进其身心和谐健康发展（相关社会服务）。</w:t>
      </w:r>
    </w:p>
    <w:p w14:paraId="1A16BA0D"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74EC3B58"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昌吉市第二幼儿园2024年度，实有人数132人，其中：在职人员110人，增加35人；离休人员0人，较上年无变化；退休人员22人，增加2人。</w:t>
      </w:r>
    </w:p>
    <w:p w14:paraId="25AD88C5"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昌吉市第二幼儿园无下属预算单位，下设3个</w:t>
      </w:r>
      <w:r>
        <w:rPr>
          <w:rFonts w:ascii="仿宋_GB2312" w:eastAsia="仿宋_GB2312" w:hint="eastAsia"/>
          <w:sz w:val="32"/>
          <w:szCs w:val="32"/>
          <w:lang w:eastAsia="zh-CN"/>
        </w:rPr>
        <w:t>科室</w:t>
      </w:r>
      <w:r>
        <w:rPr>
          <w:rFonts w:ascii="仿宋_GB2312" w:eastAsia="仿宋_GB2312"/>
          <w:sz w:val="32"/>
          <w:szCs w:val="32"/>
          <w:lang w:eastAsia="zh-CN"/>
        </w:rPr>
        <w:t>，分别是：教研室、总务处、保教处。</w:t>
      </w:r>
    </w:p>
    <w:p w14:paraId="0D64B354" w14:textId="77777777" w:rsidR="0001615B" w:rsidRDefault="00000000">
      <w:pPr>
        <w:rPr>
          <w:lang w:eastAsia="zh-CN"/>
        </w:rPr>
      </w:pPr>
      <w:r>
        <w:rPr>
          <w:sz w:val="0"/>
          <w:szCs w:val="0"/>
          <w:lang w:eastAsia="zh-CN"/>
        </w:rPr>
        <w:br w:type="page"/>
      </w:r>
    </w:p>
    <w:p w14:paraId="6B40551C" w14:textId="77777777" w:rsidR="0001615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E0E0AD6"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BC26A5E"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2024年度收入总计2,655.06万元，其中：本年收入合计2,655.06万元，使用非财政拨款结余（含专用结余）0.00万元，年初结转和结余0.00万元。</w:t>
      </w:r>
    </w:p>
    <w:p w14:paraId="0C775B96"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2024年度支出总计2,655.06万元，其中：本年支出合计2,655.06万元，结余分配0.00万元，年末结转和结余0.00万元。</w:t>
      </w:r>
    </w:p>
    <w:p w14:paraId="5A014F40" w14:textId="60EC6960"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收入支出总体与上年相比，增加947.07万元，增长55.45%，主要原因是：</w:t>
      </w:r>
      <w:r w:rsidR="006D738D">
        <w:rPr>
          <w:rFonts w:ascii="仿宋_GB2312" w:eastAsia="仿宋_GB2312" w:hint="eastAsia"/>
          <w:sz w:val="32"/>
          <w:szCs w:val="32"/>
          <w:lang w:eastAsia="zh-CN"/>
        </w:rPr>
        <w:t>单位本年人员增加，人员工资、津贴补贴、奖金等经费增加</w:t>
      </w:r>
      <w:r w:rsidR="006D738D">
        <w:rPr>
          <w:rFonts w:ascii="仿宋_GB2312" w:eastAsia="仿宋_GB2312" w:hint="eastAsia"/>
          <w:sz w:val="32"/>
          <w:szCs w:val="32"/>
          <w:lang w:eastAsia="zh-CN"/>
        </w:rPr>
        <w:t>；</w:t>
      </w:r>
      <w:r>
        <w:rPr>
          <w:rFonts w:ascii="仿宋_GB2312" w:eastAsia="仿宋_GB2312" w:hint="eastAsia"/>
          <w:sz w:val="32"/>
          <w:szCs w:val="32"/>
          <w:lang w:eastAsia="zh-CN"/>
        </w:rPr>
        <w:t>本年中央财政支持学前教育发展资金</w:t>
      </w:r>
      <w:r>
        <w:rPr>
          <w:rFonts w:ascii="仿宋_GB2312" w:eastAsia="仿宋_GB2312"/>
          <w:sz w:val="32"/>
          <w:szCs w:val="32"/>
          <w:lang w:eastAsia="zh-CN"/>
        </w:rPr>
        <w:t>、</w:t>
      </w:r>
      <w:r>
        <w:rPr>
          <w:rFonts w:ascii="仿宋_GB2312" w:eastAsia="仿宋_GB2312" w:hint="eastAsia"/>
          <w:sz w:val="32"/>
          <w:szCs w:val="32"/>
          <w:lang w:eastAsia="zh-CN"/>
        </w:rPr>
        <w:t>昌吉州庭州英才人才计划支持资金等</w:t>
      </w:r>
      <w:r>
        <w:rPr>
          <w:rFonts w:ascii="仿宋_GB2312" w:eastAsia="仿宋_GB2312"/>
          <w:sz w:val="32"/>
          <w:szCs w:val="32"/>
          <w:lang w:eastAsia="zh-CN"/>
        </w:rPr>
        <w:t>项目经费</w:t>
      </w:r>
      <w:r w:rsidR="006D738D">
        <w:rPr>
          <w:rFonts w:ascii="仿宋_GB2312" w:eastAsia="仿宋_GB2312" w:hint="eastAsia"/>
          <w:sz w:val="32"/>
          <w:szCs w:val="32"/>
          <w:lang w:eastAsia="zh-CN"/>
        </w:rPr>
        <w:t>、</w:t>
      </w:r>
      <w:r w:rsidR="006D738D">
        <w:rPr>
          <w:rFonts w:ascii="仿宋_GB2312" w:eastAsia="仿宋_GB2312"/>
          <w:sz w:val="32"/>
          <w:szCs w:val="32"/>
          <w:lang w:eastAsia="zh-CN"/>
        </w:rPr>
        <w:t>城镇幼儿园项目经费增加</w:t>
      </w:r>
      <w:r>
        <w:rPr>
          <w:rFonts w:ascii="仿宋_GB2312" w:eastAsia="仿宋_GB2312"/>
          <w:sz w:val="32"/>
          <w:szCs w:val="32"/>
          <w:lang w:eastAsia="zh-CN"/>
        </w:rPr>
        <w:t>。</w:t>
      </w:r>
    </w:p>
    <w:p w14:paraId="7F4A2835"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AF570EA"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本年收入2,655.06万元，其中：财政拨款收入2,655.06万元,占100.00%；上级补助收入0.00万元,占0.00%；事业收入0.00万元，占0.00%；经营收入0.00万元,占0.00%；附属单位上缴收入0.00万元，占0.00%；其他收入0.00万元，占0.00%。</w:t>
      </w:r>
    </w:p>
    <w:p w14:paraId="14F99DFF"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72F0312"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本年支出2,655.06万元，其中：基本支出2,160.12万元，占81.36%；项目支出494.94万元，占18.64%；上缴上级支出0.00万元，占0.00%；经营支出0.00万元，占0.00%；对附属单位补助支出0.00万元，占0.00%。</w:t>
      </w:r>
    </w:p>
    <w:p w14:paraId="7195B5A8"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766F25C"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2,655.06万元，其中：年初财政拨款结转和结余0.00万元，本年财政拨款收入2,655.06万元。财政拨款支出总计2,655.06万元，其中：年末财政拨款结转和结余0.00万元，本年财政拨款支出2,655.06万元。</w:t>
      </w:r>
    </w:p>
    <w:p w14:paraId="636C5E81" w14:textId="41D4A4DC"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财政拨款收入支出总体与上年相比，增加1,073.60万元，增长67.89%，主要原因是：</w:t>
      </w:r>
      <w:r w:rsidR="006D738D">
        <w:rPr>
          <w:rFonts w:ascii="仿宋_GB2312" w:eastAsia="仿宋_GB2312" w:hint="eastAsia"/>
          <w:sz w:val="32"/>
          <w:szCs w:val="32"/>
          <w:lang w:eastAsia="zh-CN"/>
        </w:rPr>
        <w:t>单位本年人员增加，人员工资、</w:t>
      </w:r>
      <w:r w:rsidR="006D738D">
        <w:rPr>
          <w:rFonts w:ascii="仿宋_GB2312" w:eastAsia="仿宋_GB2312" w:hint="eastAsia"/>
          <w:sz w:val="32"/>
          <w:szCs w:val="32"/>
          <w:lang w:eastAsia="zh-CN"/>
        </w:rPr>
        <w:lastRenderedPageBreak/>
        <w:t>津贴补贴、奖金等经费增加；本年中央财政支持学前教育发展资金</w:t>
      </w:r>
      <w:r w:rsidR="006D738D">
        <w:rPr>
          <w:rFonts w:ascii="仿宋_GB2312" w:eastAsia="仿宋_GB2312"/>
          <w:sz w:val="32"/>
          <w:szCs w:val="32"/>
          <w:lang w:eastAsia="zh-CN"/>
        </w:rPr>
        <w:t>、</w:t>
      </w:r>
      <w:r w:rsidR="006D738D">
        <w:rPr>
          <w:rFonts w:ascii="仿宋_GB2312" w:eastAsia="仿宋_GB2312" w:hint="eastAsia"/>
          <w:sz w:val="32"/>
          <w:szCs w:val="32"/>
          <w:lang w:eastAsia="zh-CN"/>
        </w:rPr>
        <w:t>昌吉州庭州英才人才计划支持资金等</w:t>
      </w:r>
      <w:r w:rsidR="006D738D">
        <w:rPr>
          <w:rFonts w:ascii="仿宋_GB2312" w:eastAsia="仿宋_GB2312"/>
          <w:sz w:val="32"/>
          <w:szCs w:val="32"/>
          <w:lang w:eastAsia="zh-CN"/>
        </w:rPr>
        <w:t>项目经费</w:t>
      </w:r>
      <w:r w:rsidR="006D738D">
        <w:rPr>
          <w:rFonts w:ascii="仿宋_GB2312" w:eastAsia="仿宋_GB2312" w:hint="eastAsia"/>
          <w:sz w:val="32"/>
          <w:szCs w:val="32"/>
          <w:lang w:eastAsia="zh-CN"/>
        </w:rPr>
        <w:t>、</w:t>
      </w:r>
      <w:r w:rsidR="006D738D">
        <w:rPr>
          <w:rFonts w:ascii="仿宋_GB2312" w:eastAsia="仿宋_GB2312"/>
          <w:sz w:val="32"/>
          <w:szCs w:val="32"/>
          <w:lang w:eastAsia="zh-CN"/>
        </w:rPr>
        <w:t>城镇幼儿园项目经费增加</w:t>
      </w:r>
      <w:r>
        <w:rPr>
          <w:rFonts w:ascii="仿宋_GB2312" w:eastAsia="仿宋_GB2312"/>
          <w:sz w:val="32"/>
          <w:szCs w:val="32"/>
          <w:lang w:eastAsia="zh-CN"/>
        </w:rPr>
        <w:t>。与年初预算相比，年初预算数1,657.00万元，决算数2,655.06万元，预决算差异率60.23%，主要原因是：年中追加</w:t>
      </w:r>
      <w:r w:rsidR="006D738D">
        <w:rPr>
          <w:rFonts w:ascii="仿宋_GB2312" w:eastAsia="仿宋_GB2312" w:hint="eastAsia"/>
          <w:sz w:val="32"/>
          <w:szCs w:val="32"/>
          <w:lang w:eastAsia="zh-CN"/>
        </w:rPr>
        <w:t>中央财政支持学前教育发展资金</w:t>
      </w:r>
      <w:r w:rsidR="006D738D">
        <w:rPr>
          <w:rFonts w:ascii="仿宋_GB2312" w:eastAsia="仿宋_GB2312"/>
          <w:sz w:val="32"/>
          <w:szCs w:val="32"/>
          <w:lang w:eastAsia="zh-CN"/>
        </w:rPr>
        <w:t>、</w:t>
      </w:r>
      <w:r w:rsidR="006D738D">
        <w:rPr>
          <w:rFonts w:ascii="仿宋_GB2312" w:eastAsia="仿宋_GB2312" w:hint="eastAsia"/>
          <w:sz w:val="32"/>
          <w:szCs w:val="32"/>
          <w:lang w:eastAsia="zh-CN"/>
        </w:rPr>
        <w:t>昌吉州庭州英才人才计划支持资金等</w:t>
      </w:r>
      <w:r w:rsidR="006D738D">
        <w:rPr>
          <w:rFonts w:ascii="仿宋_GB2312" w:eastAsia="仿宋_GB2312"/>
          <w:sz w:val="32"/>
          <w:szCs w:val="32"/>
          <w:lang w:eastAsia="zh-CN"/>
        </w:rPr>
        <w:t>项目经费</w:t>
      </w:r>
      <w:r w:rsidR="006D738D">
        <w:rPr>
          <w:rFonts w:ascii="仿宋_GB2312" w:eastAsia="仿宋_GB2312" w:hint="eastAsia"/>
          <w:sz w:val="32"/>
          <w:szCs w:val="32"/>
          <w:lang w:eastAsia="zh-CN"/>
        </w:rPr>
        <w:t>、</w:t>
      </w:r>
      <w:r w:rsidR="006D738D">
        <w:rPr>
          <w:rFonts w:ascii="仿宋_GB2312" w:eastAsia="仿宋_GB2312"/>
          <w:sz w:val="32"/>
          <w:szCs w:val="32"/>
          <w:lang w:eastAsia="zh-CN"/>
        </w:rPr>
        <w:t>城镇幼儿园项目经费</w:t>
      </w:r>
      <w:r>
        <w:rPr>
          <w:rFonts w:ascii="仿宋_GB2312" w:eastAsia="仿宋_GB2312"/>
          <w:sz w:val="32"/>
          <w:szCs w:val="32"/>
          <w:lang w:eastAsia="zh-CN"/>
        </w:rPr>
        <w:t>。</w:t>
      </w:r>
    </w:p>
    <w:p w14:paraId="4F7265B6"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2B4D1B4" w14:textId="77777777" w:rsidR="0001615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1DDDD763" w14:textId="22A25F6F"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2024年度一般公共预算财政拨款支出2,655.06万元，占本年支出合计的100.00%。与上年相比，增加1,114.41万元，增长72.33%，主要原因是：</w:t>
      </w:r>
      <w:r w:rsidR="006D738D">
        <w:rPr>
          <w:rFonts w:ascii="仿宋_GB2312" w:eastAsia="仿宋_GB2312" w:hint="eastAsia"/>
          <w:sz w:val="32"/>
          <w:szCs w:val="32"/>
          <w:lang w:eastAsia="zh-CN"/>
        </w:rPr>
        <w:t>单位本年人员增加，人员工资、津贴补贴、奖金等经费增加；本年中央财政支持学前教育发展资金</w:t>
      </w:r>
      <w:r w:rsidR="006D738D">
        <w:rPr>
          <w:rFonts w:ascii="仿宋_GB2312" w:eastAsia="仿宋_GB2312"/>
          <w:sz w:val="32"/>
          <w:szCs w:val="32"/>
          <w:lang w:eastAsia="zh-CN"/>
        </w:rPr>
        <w:t>、</w:t>
      </w:r>
      <w:r w:rsidR="006D738D">
        <w:rPr>
          <w:rFonts w:ascii="仿宋_GB2312" w:eastAsia="仿宋_GB2312" w:hint="eastAsia"/>
          <w:sz w:val="32"/>
          <w:szCs w:val="32"/>
          <w:lang w:eastAsia="zh-CN"/>
        </w:rPr>
        <w:t>昌吉州庭州英才人才计划支持资金等</w:t>
      </w:r>
      <w:r w:rsidR="006D738D">
        <w:rPr>
          <w:rFonts w:ascii="仿宋_GB2312" w:eastAsia="仿宋_GB2312"/>
          <w:sz w:val="32"/>
          <w:szCs w:val="32"/>
          <w:lang w:eastAsia="zh-CN"/>
        </w:rPr>
        <w:t>项目经费</w:t>
      </w:r>
      <w:r w:rsidR="006D738D">
        <w:rPr>
          <w:rFonts w:ascii="仿宋_GB2312" w:eastAsia="仿宋_GB2312" w:hint="eastAsia"/>
          <w:sz w:val="32"/>
          <w:szCs w:val="32"/>
          <w:lang w:eastAsia="zh-CN"/>
        </w:rPr>
        <w:t>、</w:t>
      </w:r>
      <w:r w:rsidR="006D738D">
        <w:rPr>
          <w:rFonts w:ascii="仿宋_GB2312" w:eastAsia="仿宋_GB2312"/>
          <w:sz w:val="32"/>
          <w:szCs w:val="32"/>
          <w:lang w:eastAsia="zh-CN"/>
        </w:rPr>
        <w:t>城镇幼儿园项目经费增加</w:t>
      </w:r>
      <w:r>
        <w:rPr>
          <w:rFonts w:ascii="仿宋_GB2312" w:eastAsia="仿宋_GB2312"/>
          <w:sz w:val="32"/>
          <w:szCs w:val="32"/>
          <w:lang w:eastAsia="zh-CN"/>
        </w:rPr>
        <w:t>。与年初预算相比，年初预算数1,657.00万元，决算数2,655.06万元，预决算差异率60.23%，主要原因是：年中追加</w:t>
      </w:r>
      <w:r w:rsidR="006D738D">
        <w:rPr>
          <w:rFonts w:ascii="仿宋_GB2312" w:eastAsia="仿宋_GB2312" w:hint="eastAsia"/>
          <w:sz w:val="32"/>
          <w:szCs w:val="32"/>
          <w:lang w:eastAsia="zh-CN"/>
        </w:rPr>
        <w:t>中央财政支持学前教育发展资金</w:t>
      </w:r>
      <w:r w:rsidR="006D738D">
        <w:rPr>
          <w:rFonts w:ascii="仿宋_GB2312" w:eastAsia="仿宋_GB2312"/>
          <w:sz w:val="32"/>
          <w:szCs w:val="32"/>
          <w:lang w:eastAsia="zh-CN"/>
        </w:rPr>
        <w:t>、</w:t>
      </w:r>
      <w:r w:rsidR="006D738D">
        <w:rPr>
          <w:rFonts w:ascii="仿宋_GB2312" w:eastAsia="仿宋_GB2312" w:hint="eastAsia"/>
          <w:sz w:val="32"/>
          <w:szCs w:val="32"/>
          <w:lang w:eastAsia="zh-CN"/>
        </w:rPr>
        <w:t>昌吉州庭州英才人才计划支持资金等</w:t>
      </w:r>
      <w:r w:rsidR="006D738D">
        <w:rPr>
          <w:rFonts w:ascii="仿宋_GB2312" w:eastAsia="仿宋_GB2312"/>
          <w:sz w:val="32"/>
          <w:szCs w:val="32"/>
          <w:lang w:eastAsia="zh-CN"/>
        </w:rPr>
        <w:t>项目经费</w:t>
      </w:r>
      <w:r w:rsidR="006D738D">
        <w:rPr>
          <w:rFonts w:ascii="仿宋_GB2312" w:eastAsia="仿宋_GB2312" w:hint="eastAsia"/>
          <w:sz w:val="32"/>
          <w:szCs w:val="32"/>
          <w:lang w:eastAsia="zh-CN"/>
        </w:rPr>
        <w:t>、</w:t>
      </w:r>
      <w:r w:rsidR="006D738D">
        <w:rPr>
          <w:rFonts w:ascii="仿宋_GB2312" w:eastAsia="仿宋_GB2312"/>
          <w:sz w:val="32"/>
          <w:szCs w:val="32"/>
          <w:lang w:eastAsia="zh-CN"/>
        </w:rPr>
        <w:t>城镇幼儿园项目经费</w:t>
      </w:r>
      <w:r>
        <w:rPr>
          <w:rFonts w:ascii="仿宋_GB2312" w:eastAsia="仿宋_GB2312"/>
          <w:sz w:val="32"/>
          <w:szCs w:val="32"/>
          <w:lang w:eastAsia="zh-CN"/>
        </w:rPr>
        <w:t>。</w:t>
      </w:r>
    </w:p>
    <w:p w14:paraId="629CA124" w14:textId="77777777" w:rsidR="0001615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2DDEDA6A"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教育支出（类）2,637.04万元，占99.32%。</w:t>
      </w:r>
    </w:p>
    <w:p w14:paraId="596DE368"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社会保障和就业支出（类）18.02万元，占0.68%。</w:t>
      </w:r>
    </w:p>
    <w:p w14:paraId="67B9F0E2" w14:textId="77777777" w:rsidR="0001615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635B01B7" w14:textId="77777777" w:rsidR="0001615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1、教育支出（类）教育管理事务（款）一般行政管理事务（项）：支出决算数为0.00万元，比上年决算减少0.50万元，下降100.00%，主要原因是：单位本年购置办公用品经费减少。</w:t>
      </w:r>
    </w:p>
    <w:p w14:paraId="355DADBC" w14:textId="270C1040" w:rsidR="0001615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2、教育支出（类）普通教育（款）学前教育（项）：支出决算数为2,498.27万元，比上年决算增加958.12万元，增长62.21%，主要原因是：单位本年中央财政支持学前教育发展项目经费增加。</w:t>
      </w:r>
    </w:p>
    <w:p w14:paraId="65DEE07C" w14:textId="41F07E75" w:rsidR="0001615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3、教育支出（类）教育费附加安排的支出（款）其他教育费附加安排的支出（项）：支出决算数为138.77万元，比</w:t>
      </w:r>
      <w:r>
        <w:rPr>
          <w:rFonts w:ascii="仿宋_GB2312" w:eastAsia="仿宋_GB2312"/>
          <w:sz w:val="32"/>
          <w:szCs w:val="32"/>
          <w:lang w:eastAsia="zh-CN"/>
        </w:rPr>
        <w:lastRenderedPageBreak/>
        <w:t>上年决算增加138.77万元，增长100.00%，主要原因是：单位本年城镇幼儿园项目经费</w:t>
      </w:r>
      <w:r w:rsidR="006D738D">
        <w:rPr>
          <w:rFonts w:ascii="仿宋_GB2312" w:eastAsia="仿宋_GB2312" w:hint="eastAsia"/>
          <w:sz w:val="32"/>
          <w:szCs w:val="32"/>
          <w:lang w:eastAsia="zh-CN"/>
        </w:rPr>
        <w:t>、</w:t>
      </w:r>
      <w:r>
        <w:rPr>
          <w:rFonts w:ascii="仿宋_GB2312" w:eastAsia="仿宋_GB2312"/>
          <w:sz w:val="32"/>
          <w:szCs w:val="32"/>
          <w:lang w:eastAsia="zh-CN"/>
        </w:rPr>
        <w:t>劳务派遣人员工资、社保、公积金及取暖费增加。</w:t>
      </w:r>
    </w:p>
    <w:p w14:paraId="3256D10F" w14:textId="77777777" w:rsidR="0001615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4、社会保障和就业支出（类）行政事业单位养老支出（款）机关事业单位职业年金缴费支出（项）：支出决算数为18.02万元，比上年决算增加18.02万元，增长100.00%，主要原因是：单位本年</w:t>
      </w:r>
      <w:r>
        <w:rPr>
          <w:rFonts w:ascii="仿宋_GB2312" w:eastAsia="仿宋_GB2312" w:hint="eastAsia"/>
          <w:sz w:val="32"/>
          <w:szCs w:val="32"/>
          <w:lang w:eastAsia="zh-CN"/>
        </w:rPr>
        <w:t>人员</w:t>
      </w:r>
      <w:r>
        <w:rPr>
          <w:rFonts w:ascii="仿宋_GB2312" w:eastAsia="仿宋_GB2312"/>
          <w:sz w:val="32"/>
          <w:szCs w:val="32"/>
          <w:lang w:eastAsia="zh-CN"/>
        </w:rPr>
        <w:t>一次性职业年金缴费增加。</w:t>
      </w:r>
    </w:p>
    <w:p w14:paraId="479F0863"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B1192EF"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2,160.12万元，其中：人员经费2,013.03万元，包括：基本工资、津贴补贴、奖金、绩效工资、机关事业单位基本养老保险缴费、职业年金缴费、职工基本医疗保险缴费、公务员医疗补助缴费、其他社会保障缴费、住房公积金、医疗费、其他工资福利支出、退休费和奖励金。</w:t>
      </w:r>
    </w:p>
    <w:p w14:paraId="2C3EB3EA"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公用经费147.09万元，包括：办公费、咨询费、水费、电费、邮电费、取暖费、维修（护）费、劳务费、税金及附加费用和办公设备购置。</w:t>
      </w:r>
    </w:p>
    <w:p w14:paraId="7C88F0B8"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C87C572"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FAE70F7"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230A9AC"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FE9DB5C"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9915B3E"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三公</w:t>
      </w:r>
      <w:r>
        <w:rPr>
          <w:rFonts w:ascii="仿宋_GB2312" w:eastAsia="仿宋_GB2312" w:hint="eastAsia"/>
          <w:sz w:val="32"/>
          <w:szCs w:val="32"/>
          <w:lang w:eastAsia="zh-CN"/>
        </w:rPr>
        <w:t>”经费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w:t>
      </w:r>
      <w:r>
        <w:rPr>
          <w:rFonts w:ascii="仿宋_GB2312" w:eastAsia="仿宋_GB2312" w:hint="eastAsia"/>
          <w:sz w:val="32"/>
          <w:szCs w:val="32"/>
          <w:lang w:eastAsia="zh-CN"/>
        </w:rPr>
        <w:lastRenderedPageBreak/>
        <w:t>度与本年度均无</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58665F6B" w14:textId="77777777" w:rsidR="0001615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6A677C7C"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1F1FA17A"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w:t>
      </w:r>
      <w:r>
        <w:rPr>
          <w:rFonts w:ascii="仿宋_GB2312" w:eastAsia="仿宋_GB2312"/>
          <w:sz w:val="32"/>
          <w:szCs w:val="32"/>
          <w:lang w:eastAsia="zh-CN"/>
        </w:rPr>
        <w:t>单位本年无公务用车运行维护费。公务用车购置数0辆，公务用车保有量0辆。国有资产占用情况中固定资产车辆0辆，与公务用车保有量差异原因是：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1B828589"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7949A5CB"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196A5276"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EEA3A22" w14:textId="77777777" w:rsidR="0001615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1AC4E5D9"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2024年度昌吉市第二幼儿园单位（事业单位）公用经费支出147.09万元，比上年增加42.30万元，增长40.37%，主</w:t>
      </w:r>
      <w:r>
        <w:rPr>
          <w:rFonts w:ascii="仿宋_GB2312" w:eastAsia="仿宋_GB2312"/>
          <w:sz w:val="32"/>
          <w:szCs w:val="32"/>
          <w:lang w:eastAsia="zh-CN"/>
        </w:rPr>
        <w:lastRenderedPageBreak/>
        <w:t>要原因是：单位本年</w:t>
      </w:r>
      <w:r>
        <w:rPr>
          <w:rFonts w:ascii="仿宋_GB2312" w:eastAsia="仿宋_GB2312" w:hint="eastAsia"/>
          <w:sz w:val="32"/>
          <w:szCs w:val="32"/>
          <w:lang w:eastAsia="zh-CN"/>
        </w:rPr>
        <w:t>劳务费</w:t>
      </w:r>
      <w:r>
        <w:rPr>
          <w:rFonts w:ascii="仿宋_GB2312" w:eastAsia="仿宋_GB2312"/>
          <w:sz w:val="32"/>
          <w:szCs w:val="32"/>
          <w:lang w:eastAsia="zh-CN"/>
        </w:rPr>
        <w:t>、电费、</w:t>
      </w:r>
      <w:r>
        <w:rPr>
          <w:rFonts w:ascii="仿宋_GB2312" w:eastAsia="仿宋_GB2312" w:hint="eastAsia"/>
          <w:sz w:val="32"/>
          <w:szCs w:val="32"/>
          <w:lang w:eastAsia="zh-CN"/>
        </w:rPr>
        <w:t>维修（护）费等经费</w:t>
      </w:r>
      <w:r>
        <w:rPr>
          <w:rFonts w:ascii="仿宋_GB2312" w:eastAsia="仿宋_GB2312"/>
          <w:sz w:val="32"/>
          <w:szCs w:val="32"/>
          <w:lang w:eastAsia="zh-CN"/>
        </w:rPr>
        <w:t>较上年增加。</w:t>
      </w:r>
    </w:p>
    <w:p w14:paraId="0EB271DA" w14:textId="77777777" w:rsidR="0001615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6EC67EA0"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2024年度政府采购支出总额287.54万元，其中：政府采购货物支出233.22万元、政府采购工程支出40.40万元、政府采购服务支出13.92万元。</w:t>
      </w:r>
    </w:p>
    <w:p w14:paraId="4FF4B670"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授予中小企业合同金额287.54万元，占政府采购支出总额的100.00%，其中：授予小微企业合同金额287.54万元，占政府采购支出总额的100.00%。</w:t>
      </w:r>
    </w:p>
    <w:p w14:paraId="7A07B955" w14:textId="77777777" w:rsidR="0001615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155DD922"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截至2024年12月31日，房屋10,956.52平方米，价值2,338.83万元。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本单位</w:t>
      </w:r>
      <w:r>
        <w:rPr>
          <w:rFonts w:ascii="仿宋_GB2312" w:eastAsia="仿宋_GB2312"/>
          <w:sz w:val="32"/>
          <w:szCs w:val="32"/>
          <w:lang w:eastAsia="zh-CN"/>
        </w:rPr>
        <w:t>无其他用车;单价100万元（含）以上设备（不含车辆）0台（套）。</w:t>
      </w:r>
    </w:p>
    <w:p w14:paraId="4C5FAC84"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0D6A2284" w14:textId="299F10CE"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根据预算绩效管理要求，本单位2024年度预算绩效管理形成整体支出绩效自评表1个，全年预算总额2,655.06万元，实际执行总额2,655.06万元；预算绩效评价项目0个，全年预算数0</w:t>
      </w:r>
      <w:r w:rsidR="006D738D">
        <w:rPr>
          <w:rFonts w:ascii="仿宋_GB2312" w:eastAsia="仿宋_GB2312" w:hint="eastAsia"/>
          <w:sz w:val="32"/>
          <w:szCs w:val="32"/>
          <w:lang w:eastAsia="zh-CN"/>
        </w:rPr>
        <w:t>.00</w:t>
      </w:r>
      <w:r>
        <w:rPr>
          <w:rFonts w:ascii="仿宋_GB2312" w:eastAsia="仿宋_GB2312"/>
          <w:sz w:val="32"/>
          <w:szCs w:val="32"/>
          <w:lang w:eastAsia="zh-CN"/>
        </w:rPr>
        <w:t>万元，全年执行数0</w:t>
      </w:r>
      <w:r w:rsidR="006D738D">
        <w:rPr>
          <w:rFonts w:ascii="仿宋_GB2312" w:eastAsia="仿宋_GB2312" w:hint="eastAsia"/>
          <w:sz w:val="32"/>
          <w:szCs w:val="32"/>
          <w:lang w:eastAsia="zh-CN"/>
        </w:rPr>
        <w:t>.00</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以硬件维护、安全防护、后勤保障为支撑，确保学校教学、行政等各项工作有序推进，高效完成教育教学活动，通过优化服务体验、提升育人成效，切实提高家长及学生满意度；二是在所有项目实施过程中，紧密围绕绩效申报目标，将目标设定细化到项目策划、执行、监督各环节，确保项目推进始终契合绩效要求，实现目标与实施的深度融合。</w:t>
      </w:r>
      <w:r>
        <w:rPr>
          <w:rFonts w:ascii="仿宋_GB2312" w:eastAsia="仿宋_GB2312"/>
          <w:sz w:val="32"/>
          <w:szCs w:val="32"/>
          <w:lang w:eastAsia="zh-CN"/>
        </w:rPr>
        <w:t>发现的问题及原因：</w:t>
      </w:r>
      <w:r>
        <w:rPr>
          <w:rFonts w:ascii="仿宋_GB2312" w:eastAsia="仿宋_GB2312" w:hint="eastAsia"/>
          <w:sz w:val="32"/>
          <w:szCs w:val="32"/>
          <w:lang w:eastAsia="zh-CN"/>
        </w:rPr>
        <w:t>一是工作流程完善在执行层面存在明显短板，尤其当工作流程延伸至教务处、总务处、德育处等部门之外协同推进时，常因职责界定模糊、沟通衔接不畅出现部门间相互推诿责</w:t>
      </w:r>
      <w:r>
        <w:rPr>
          <w:rFonts w:ascii="仿宋_GB2312" w:eastAsia="仿宋_GB2312" w:hint="eastAsia"/>
          <w:sz w:val="32"/>
          <w:szCs w:val="32"/>
          <w:lang w:eastAsia="zh-CN"/>
        </w:rPr>
        <w:lastRenderedPageBreak/>
        <w:t>任的情况，导致工作推进卡顿、运行效率低下；二是工作开展中缺乏目标设定、过程监控、考核激励等关键管理元素，难以形成规范化的推进机制，直接影响学校正常运转与教育教学质量提升相关工作的有序开展。</w:t>
      </w:r>
      <w:r>
        <w:rPr>
          <w:rFonts w:ascii="仿宋_GB2312" w:eastAsia="仿宋_GB2312"/>
          <w:sz w:val="32"/>
          <w:szCs w:val="32"/>
          <w:lang w:eastAsia="zh-CN"/>
        </w:rPr>
        <w:t>下一步改进措施：</w:t>
      </w:r>
      <w:r>
        <w:rPr>
          <w:rFonts w:ascii="仿宋_GB2312" w:eastAsia="仿宋_GB2312" w:hint="eastAsia"/>
          <w:sz w:val="32"/>
          <w:szCs w:val="32"/>
          <w:lang w:eastAsia="zh-CN"/>
        </w:rPr>
        <w:t>一是通过分层分类开展绩效管理专题培训，结合工作实例讲解绩效管理与岗位职责的关联，帮助教职工清晰认识到绩效管理是保障学校正常运转、提升教育教学质量的本职工作，而非额外任务；二是围绕绩效管理全流程做出细致规划，明确每个环节的责任部门与责任人，确保权责清晰、执行到位，避免出现流程空转或责任推诿。</w:t>
      </w:r>
      <w:r>
        <w:rPr>
          <w:rFonts w:ascii="仿宋_GB2312" w:eastAsia="仿宋_GB2312"/>
          <w:sz w:val="32"/>
          <w:szCs w:val="32"/>
          <w:lang w:eastAsia="zh-CN"/>
        </w:rPr>
        <w:t>具体附部门整体支出绩效自评表。</w:t>
      </w:r>
    </w:p>
    <w:p w14:paraId="3BBADE45" w14:textId="77777777" w:rsidR="0001615B" w:rsidRDefault="00000000">
      <w:pPr>
        <w:jc w:val="center"/>
        <w:rPr>
          <w:rFonts w:ascii="宋体" w:eastAsia="宋体" w:hAnsi="宋体" w:cs="宋体" w:hint="eastAsia"/>
          <w:b/>
          <w:bCs/>
          <w:sz w:val="18"/>
          <w:szCs w:val="18"/>
          <w:lang w:eastAsia="zh-CN"/>
        </w:rPr>
      </w:pPr>
      <w:r>
        <w:rPr>
          <w:rFonts w:ascii="仿宋_GB2312" w:eastAsia="仿宋_GB2312"/>
          <w:sz w:val="32"/>
          <w:szCs w:val="32"/>
          <w:lang w:eastAsia="zh-CN"/>
        </w:rPr>
        <w:br w:type="page"/>
      </w:r>
      <w:bookmarkStart w:id="0" w:name="_Hlk174962300"/>
    </w:p>
    <w:p w14:paraId="0AEDDF60" w14:textId="77777777" w:rsidR="0001615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629F2556" w14:textId="77777777" w:rsidR="0001615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01615B" w14:paraId="1431D237"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E684EAE"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29F150B"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昌吉市第二幼儿园</w:t>
            </w:r>
          </w:p>
        </w:tc>
        <w:tc>
          <w:tcPr>
            <w:tcW w:w="284" w:type="dxa"/>
            <w:tcBorders>
              <w:top w:val="nil"/>
              <w:left w:val="nil"/>
              <w:bottom w:val="nil"/>
              <w:right w:val="nil"/>
            </w:tcBorders>
            <w:noWrap/>
            <w:vAlign w:val="center"/>
          </w:tcPr>
          <w:p w14:paraId="3BF72ACD" w14:textId="77777777" w:rsidR="0001615B" w:rsidRDefault="0001615B">
            <w:pPr>
              <w:spacing w:after="0" w:line="240" w:lineRule="auto"/>
              <w:rPr>
                <w:rFonts w:ascii="宋体" w:eastAsia="宋体" w:hAnsi="宋体" w:cs="宋体" w:hint="eastAsia"/>
                <w:b/>
                <w:bCs/>
                <w:sz w:val="18"/>
                <w:szCs w:val="18"/>
                <w:lang w:eastAsia="zh-CN"/>
              </w:rPr>
            </w:pPr>
          </w:p>
        </w:tc>
      </w:tr>
      <w:tr w:rsidR="0001615B" w14:paraId="677D937A"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65A565B"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2AFBABF"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0A9C1B7D"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21D745AE"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5A98F1AF"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387CBFBC"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24D45E20"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22BA867"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FE8226D" w14:textId="77777777" w:rsidR="0001615B" w:rsidRDefault="0001615B">
            <w:pPr>
              <w:spacing w:after="0" w:line="240" w:lineRule="auto"/>
              <w:jc w:val="center"/>
              <w:rPr>
                <w:rFonts w:ascii="宋体" w:eastAsia="宋体" w:hAnsi="宋体" w:cs="宋体" w:hint="eastAsia"/>
                <w:b/>
                <w:bCs/>
                <w:sz w:val="18"/>
                <w:szCs w:val="18"/>
                <w:lang w:eastAsia="zh-CN"/>
              </w:rPr>
            </w:pPr>
          </w:p>
        </w:tc>
      </w:tr>
      <w:tr w:rsidR="0001615B" w14:paraId="2F2D9DEB"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78FA508" w14:textId="77777777" w:rsidR="0001615B" w:rsidRDefault="0001615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3CBB0B75"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6EB36264"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72D27CD4"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396.54</w:t>
            </w:r>
          </w:p>
        </w:tc>
        <w:tc>
          <w:tcPr>
            <w:tcW w:w="1842" w:type="dxa"/>
            <w:tcBorders>
              <w:top w:val="nil"/>
              <w:left w:val="nil"/>
              <w:bottom w:val="single" w:sz="4" w:space="0" w:color="auto"/>
              <w:right w:val="single" w:sz="4" w:space="0" w:color="auto"/>
            </w:tcBorders>
            <w:vAlign w:val="center"/>
          </w:tcPr>
          <w:p w14:paraId="100BBD71"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396.54</w:t>
            </w:r>
          </w:p>
        </w:tc>
        <w:tc>
          <w:tcPr>
            <w:tcW w:w="993" w:type="dxa"/>
            <w:tcBorders>
              <w:top w:val="nil"/>
              <w:left w:val="nil"/>
              <w:bottom w:val="single" w:sz="4" w:space="0" w:color="auto"/>
              <w:right w:val="single" w:sz="4" w:space="0" w:color="auto"/>
            </w:tcBorders>
            <w:vAlign w:val="center"/>
          </w:tcPr>
          <w:p w14:paraId="2D6F453C"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20BFD695"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A97C60D"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2B95DC35" w14:textId="77777777" w:rsidR="0001615B" w:rsidRDefault="0001615B">
            <w:pPr>
              <w:spacing w:after="0" w:line="240" w:lineRule="auto"/>
              <w:jc w:val="center"/>
              <w:rPr>
                <w:rFonts w:ascii="宋体" w:eastAsia="宋体" w:hAnsi="宋体" w:cs="宋体" w:hint="eastAsia"/>
                <w:b/>
                <w:bCs/>
                <w:sz w:val="18"/>
                <w:szCs w:val="18"/>
                <w:lang w:eastAsia="zh-CN"/>
              </w:rPr>
            </w:pPr>
          </w:p>
        </w:tc>
      </w:tr>
      <w:tr w:rsidR="0001615B" w14:paraId="060A599F"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41010D9" w14:textId="77777777" w:rsidR="0001615B" w:rsidRDefault="0001615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7630B74"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2DBB4AF1"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1,657.00</w:t>
            </w:r>
          </w:p>
        </w:tc>
        <w:tc>
          <w:tcPr>
            <w:tcW w:w="1276" w:type="dxa"/>
            <w:tcBorders>
              <w:top w:val="nil"/>
              <w:left w:val="nil"/>
              <w:bottom w:val="single" w:sz="4" w:space="0" w:color="auto"/>
              <w:right w:val="single" w:sz="4" w:space="0" w:color="auto"/>
            </w:tcBorders>
            <w:vAlign w:val="center"/>
          </w:tcPr>
          <w:p w14:paraId="0536C550"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2,258.52</w:t>
            </w:r>
          </w:p>
        </w:tc>
        <w:tc>
          <w:tcPr>
            <w:tcW w:w="1842" w:type="dxa"/>
            <w:tcBorders>
              <w:top w:val="nil"/>
              <w:left w:val="nil"/>
              <w:bottom w:val="single" w:sz="4" w:space="0" w:color="auto"/>
              <w:right w:val="single" w:sz="4" w:space="0" w:color="auto"/>
            </w:tcBorders>
            <w:vAlign w:val="center"/>
          </w:tcPr>
          <w:p w14:paraId="213C45A9"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2,258.52</w:t>
            </w:r>
          </w:p>
        </w:tc>
        <w:tc>
          <w:tcPr>
            <w:tcW w:w="993" w:type="dxa"/>
            <w:tcBorders>
              <w:top w:val="nil"/>
              <w:left w:val="nil"/>
              <w:bottom w:val="single" w:sz="4" w:space="0" w:color="auto"/>
              <w:right w:val="single" w:sz="4" w:space="0" w:color="auto"/>
            </w:tcBorders>
            <w:vAlign w:val="center"/>
          </w:tcPr>
          <w:p w14:paraId="204935B2"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339DA437"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1B18E73"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53B29BA8" w14:textId="77777777" w:rsidR="0001615B" w:rsidRDefault="0001615B">
            <w:pPr>
              <w:spacing w:after="0" w:line="240" w:lineRule="auto"/>
              <w:jc w:val="center"/>
              <w:rPr>
                <w:rFonts w:ascii="宋体" w:eastAsia="宋体" w:hAnsi="宋体" w:cs="宋体" w:hint="eastAsia"/>
                <w:sz w:val="18"/>
                <w:szCs w:val="18"/>
                <w:lang w:eastAsia="zh-CN"/>
              </w:rPr>
            </w:pPr>
          </w:p>
        </w:tc>
      </w:tr>
      <w:tr w:rsidR="0001615B" w14:paraId="33D2929C"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61CD737" w14:textId="77777777" w:rsidR="0001615B" w:rsidRDefault="0001615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B794A80"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672BCB18"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161B3336"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2C8849C7"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038322C0"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58D8CFDA"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0AACF91"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03E99A56" w14:textId="77777777" w:rsidR="0001615B" w:rsidRDefault="0001615B">
            <w:pPr>
              <w:spacing w:after="0" w:line="240" w:lineRule="auto"/>
              <w:jc w:val="center"/>
              <w:rPr>
                <w:rFonts w:ascii="宋体" w:eastAsia="宋体" w:hAnsi="宋体" w:cs="宋体" w:hint="eastAsia"/>
                <w:sz w:val="18"/>
                <w:szCs w:val="18"/>
                <w:lang w:eastAsia="zh-CN"/>
              </w:rPr>
            </w:pPr>
          </w:p>
        </w:tc>
      </w:tr>
      <w:tr w:rsidR="0001615B" w14:paraId="64CA3B51"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04F3B72" w14:textId="77777777" w:rsidR="0001615B" w:rsidRDefault="0001615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AA856E8"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571B01F5"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1,657.00</w:t>
            </w:r>
          </w:p>
        </w:tc>
        <w:tc>
          <w:tcPr>
            <w:tcW w:w="1276" w:type="dxa"/>
            <w:tcBorders>
              <w:top w:val="nil"/>
              <w:left w:val="nil"/>
              <w:bottom w:val="single" w:sz="4" w:space="0" w:color="auto"/>
              <w:right w:val="single" w:sz="4" w:space="0" w:color="auto"/>
            </w:tcBorders>
            <w:vAlign w:val="center"/>
          </w:tcPr>
          <w:p w14:paraId="422701A0"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2,655.06</w:t>
            </w:r>
          </w:p>
        </w:tc>
        <w:tc>
          <w:tcPr>
            <w:tcW w:w="1842" w:type="dxa"/>
            <w:tcBorders>
              <w:top w:val="nil"/>
              <w:left w:val="nil"/>
              <w:bottom w:val="single" w:sz="4" w:space="0" w:color="auto"/>
              <w:right w:val="single" w:sz="4" w:space="0" w:color="auto"/>
            </w:tcBorders>
            <w:vAlign w:val="center"/>
          </w:tcPr>
          <w:p w14:paraId="6D7626FF"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2,655.06</w:t>
            </w:r>
          </w:p>
        </w:tc>
        <w:tc>
          <w:tcPr>
            <w:tcW w:w="993" w:type="dxa"/>
            <w:tcBorders>
              <w:top w:val="nil"/>
              <w:left w:val="nil"/>
              <w:bottom w:val="single" w:sz="4" w:space="0" w:color="auto"/>
              <w:right w:val="single" w:sz="4" w:space="0" w:color="auto"/>
            </w:tcBorders>
            <w:vAlign w:val="center"/>
          </w:tcPr>
          <w:p w14:paraId="68C2F69A"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1A7B566D"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08AF5D55"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4A9C2F2A" w14:textId="77777777" w:rsidR="0001615B" w:rsidRDefault="0001615B">
            <w:pPr>
              <w:spacing w:after="0" w:line="240" w:lineRule="auto"/>
              <w:jc w:val="center"/>
              <w:rPr>
                <w:rFonts w:ascii="宋体" w:eastAsia="宋体" w:hAnsi="宋体" w:cs="宋体" w:hint="eastAsia"/>
                <w:sz w:val="18"/>
                <w:szCs w:val="18"/>
                <w:lang w:eastAsia="zh-CN"/>
              </w:rPr>
            </w:pPr>
          </w:p>
        </w:tc>
      </w:tr>
      <w:tr w:rsidR="0001615B" w14:paraId="50EF7D20"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D528331"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217FD6CE"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406054CF"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4AA256F9" w14:textId="77777777" w:rsidR="0001615B" w:rsidRDefault="0001615B">
            <w:pPr>
              <w:spacing w:after="0" w:line="240" w:lineRule="auto"/>
              <w:rPr>
                <w:rFonts w:ascii="宋体" w:eastAsia="宋体" w:hAnsi="宋体" w:cs="宋体" w:hint="eastAsia"/>
                <w:b/>
                <w:bCs/>
                <w:sz w:val="18"/>
                <w:szCs w:val="18"/>
                <w:lang w:eastAsia="zh-CN"/>
              </w:rPr>
            </w:pPr>
          </w:p>
        </w:tc>
      </w:tr>
      <w:tr w:rsidR="0001615B" w14:paraId="6A4BFB5A"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EA01955" w14:textId="77777777" w:rsidR="0001615B" w:rsidRDefault="0001615B">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2EF88A27" w14:textId="77777777" w:rsidR="0001615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目标1:完成在园幼儿教育数量1609人，提高昌吉市教育水平；目标2:完成学年内幼儿入园351人，达成教育教学的目标；目标3：保育完成率100%。</w:t>
            </w:r>
          </w:p>
        </w:tc>
        <w:tc>
          <w:tcPr>
            <w:tcW w:w="4547" w:type="dxa"/>
            <w:gridSpan w:val="4"/>
            <w:tcBorders>
              <w:top w:val="single" w:sz="4" w:space="0" w:color="auto"/>
              <w:left w:val="nil"/>
              <w:bottom w:val="single" w:sz="4" w:space="0" w:color="auto"/>
              <w:right w:val="single" w:sz="4" w:space="0" w:color="auto"/>
            </w:tcBorders>
          </w:tcPr>
          <w:p w14:paraId="0FD8BD75" w14:textId="77777777" w:rsidR="0001615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本单位年预算数2655.06万元，全年执行数2655.06万元，总预算执行率为100%，完成在园幼儿教育数量1609人，完成学年内幼儿园入园数量351人，保育完成率达到100%，整体绩效的完成达到了提高昌吉市教育水平，达到2024年教育教学的目标。</w:t>
            </w:r>
          </w:p>
        </w:tc>
        <w:tc>
          <w:tcPr>
            <w:tcW w:w="284" w:type="dxa"/>
            <w:tcBorders>
              <w:top w:val="nil"/>
              <w:left w:val="nil"/>
              <w:bottom w:val="nil"/>
              <w:right w:val="nil"/>
            </w:tcBorders>
            <w:noWrap/>
            <w:vAlign w:val="center"/>
          </w:tcPr>
          <w:p w14:paraId="08E8E954" w14:textId="77777777" w:rsidR="0001615B" w:rsidRDefault="0001615B">
            <w:pPr>
              <w:spacing w:after="0" w:line="240" w:lineRule="auto"/>
              <w:rPr>
                <w:rFonts w:ascii="宋体" w:eastAsia="宋体" w:hAnsi="宋体" w:cs="宋体" w:hint="eastAsia"/>
                <w:sz w:val="18"/>
                <w:szCs w:val="18"/>
                <w:lang w:eastAsia="zh-CN"/>
              </w:rPr>
            </w:pPr>
          </w:p>
        </w:tc>
      </w:tr>
      <w:tr w:rsidR="0001615B" w14:paraId="5CAB22F3"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FF6A29A"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33C8F844"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FE9082B"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69EB2DB0"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7E44B17E"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2C5A38F1"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1C474D4B"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766D049E" w14:textId="77777777" w:rsidR="0001615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F572173" w14:textId="77777777" w:rsidR="0001615B" w:rsidRDefault="0001615B">
            <w:pPr>
              <w:spacing w:after="0" w:line="240" w:lineRule="auto"/>
              <w:rPr>
                <w:rFonts w:ascii="宋体" w:eastAsia="宋体" w:hAnsi="宋体" w:cs="宋体" w:hint="eastAsia"/>
                <w:b/>
                <w:bCs/>
                <w:sz w:val="18"/>
                <w:szCs w:val="18"/>
                <w:lang w:eastAsia="zh-CN"/>
              </w:rPr>
            </w:pPr>
          </w:p>
        </w:tc>
      </w:tr>
      <w:tr w:rsidR="0001615B" w14:paraId="2303B2FB"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C68ACE1"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46BCFD18"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5B4654E3"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完成在园幼儿保育人数</w:t>
            </w:r>
          </w:p>
        </w:tc>
        <w:tc>
          <w:tcPr>
            <w:tcW w:w="1276" w:type="dxa"/>
            <w:tcBorders>
              <w:top w:val="nil"/>
              <w:left w:val="nil"/>
              <w:bottom w:val="single" w:sz="4" w:space="0" w:color="auto"/>
              <w:right w:val="single" w:sz="4" w:space="0" w:color="auto"/>
            </w:tcBorders>
            <w:noWrap/>
            <w:vAlign w:val="center"/>
          </w:tcPr>
          <w:p w14:paraId="34337A22"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=1609人</w:t>
            </w:r>
          </w:p>
        </w:tc>
        <w:tc>
          <w:tcPr>
            <w:tcW w:w="1842" w:type="dxa"/>
            <w:tcBorders>
              <w:top w:val="nil"/>
              <w:left w:val="nil"/>
              <w:bottom w:val="single" w:sz="4" w:space="0" w:color="auto"/>
              <w:right w:val="single" w:sz="4" w:space="0" w:color="auto"/>
            </w:tcBorders>
            <w:noWrap/>
            <w:vAlign w:val="center"/>
          </w:tcPr>
          <w:p w14:paraId="35E132E2" w14:textId="77777777" w:rsidR="0001615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学生年报</w:t>
            </w:r>
          </w:p>
        </w:tc>
        <w:tc>
          <w:tcPr>
            <w:tcW w:w="993" w:type="dxa"/>
            <w:tcBorders>
              <w:top w:val="nil"/>
              <w:left w:val="nil"/>
              <w:bottom w:val="single" w:sz="4" w:space="0" w:color="auto"/>
              <w:right w:val="single" w:sz="4" w:space="0" w:color="auto"/>
            </w:tcBorders>
            <w:noWrap/>
            <w:vAlign w:val="center"/>
          </w:tcPr>
          <w:p w14:paraId="1B69DB59"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4710B79A"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1609人</w:t>
            </w:r>
          </w:p>
        </w:tc>
        <w:tc>
          <w:tcPr>
            <w:tcW w:w="720" w:type="dxa"/>
            <w:tcBorders>
              <w:top w:val="nil"/>
              <w:left w:val="nil"/>
              <w:bottom w:val="single" w:sz="4" w:space="0" w:color="auto"/>
              <w:right w:val="single" w:sz="4" w:space="0" w:color="auto"/>
            </w:tcBorders>
            <w:noWrap/>
            <w:vAlign w:val="center"/>
          </w:tcPr>
          <w:p w14:paraId="676079B7"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7B2A5B76" w14:textId="77777777" w:rsidR="0001615B" w:rsidRDefault="0001615B">
            <w:pPr>
              <w:spacing w:after="0" w:line="240" w:lineRule="auto"/>
              <w:jc w:val="center"/>
              <w:rPr>
                <w:rFonts w:ascii="宋体" w:eastAsia="宋体" w:hAnsi="宋体" w:cs="宋体" w:hint="eastAsia"/>
                <w:sz w:val="18"/>
                <w:szCs w:val="18"/>
                <w:lang w:eastAsia="zh-CN"/>
              </w:rPr>
            </w:pPr>
          </w:p>
        </w:tc>
      </w:tr>
      <w:tr w:rsidR="0001615B" w14:paraId="3CEEB0D9" w14:textId="77777777">
        <w:trPr>
          <w:cantSplit/>
          <w:trHeight w:val="740"/>
        </w:trPr>
        <w:tc>
          <w:tcPr>
            <w:tcW w:w="993" w:type="dxa"/>
            <w:vMerge/>
            <w:tcBorders>
              <w:left w:val="single" w:sz="4" w:space="0" w:color="auto"/>
              <w:right w:val="single" w:sz="4" w:space="0" w:color="auto"/>
            </w:tcBorders>
            <w:noWrap/>
            <w:vAlign w:val="center"/>
          </w:tcPr>
          <w:p w14:paraId="5FF61D6D" w14:textId="77777777" w:rsidR="0001615B" w:rsidRDefault="0001615B">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7FD3BB0E" w14:textId="77777777" w:rsidR="0001615B" w:rsidRDefault="0001615B">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8BC0DD4"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完成幼儿新入园人数</w:t>
            </w:r>
          </w:p>
        </w:tc>
        <w:tc>
          <w:tcPr>
            <w:tcW w:w="1276" w:type="dxa"/>
            <w:tcBorders>
              <w:top w:val="nil"/>
              <w:left w:val="nil"/>
              <w:bottom w:val="single" w:sz="4" w:space="0" w:color="auto"/>
              <w:right w:val="single" w:sz="4" w:space="0" w:color="auto"/>
            </w:tcBorders>
            <w:noWrap/>
            <w:vAlign w:val="center"/>
          </w:tcPr>
          <w:p w14:paraId="616B870F"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=351人</w:t>
            </w:r>
          </w:p>
        </w:tc>
        <w:tc>
          <w:tcPr>
            <w:tcW w:w="1842" w:type="dxa"/>
            <w:tcBorders>
              <w:top w:val="nil"/>
              <w:left w:val="nil"/>
              <w:bottom w:val="single" w:sz="4" w:space="0" w:color="auto"/>
              <w:right w:val="single" w:sz="4" w:space="0" w:color="auto"/>
            </w:tcBorders>
            <w:noWrap/>
            <w:vAlign w:val="center"/>
          </w:tcPr>
          <w:p w14:paraId="75292CD4" w14:textId="77777777" w:rsidR="0001615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学生年报</w:t>
            </w:r>
          </w:p>
        </w:tc>
        <w:tc>
          <w:tcPr>
            <w:tcW w:w="993" w:type="dxa"/>
            <w:tcBorders>
              <w:top w:val="nil"/>
              <w:left w:val="nil"/>
              <w:bottom w:val="single" w:sz="4" w:space="0" w:color="auto"/>
              <w:right w:val="single" w:sz="4" w:space="0" w:color="auto"/>
            </w:tcBorders>
            <w:noWrap/>
            <w:vAlign w:val="center"/>
          </w:tcPr>
          <w:p w14:paraId="47A9ADD0"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537DD483"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351人</w:t>
            </w:r>
          </w:p>
        </w:tc>
        <w:tc>
          <w:tcPr>
            <w:tcW w:w="720" w:type="dxa"/>
            <w:tcBorders>
              <w:top w:val="nil"/>
              <w:left w:val="nil"/>
              <w:bottom w:val="single" w:sz="4" w:space="0" w:color="auto"/>
              <w:right w:val="single" w:sz="4" w:space="0" w:color="auto"/>
            </w:tcBorders>
            <w:noWrap/>
            <w:vAlign w:val="center"/>
          </w:tcPr>
          <w:p w14:paraId="1D4E782A"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66649D2D" w14:textId="77777777" w:rsidR="0001615B" w:rsidRDefault="0001615B">
            <w:pPr>
              <w:spacing w:after="0" w:line="240" w:lineRule="auto"/>
              <w:jc w:val="center"/>
              <w:rPr>
                <w:rFonts w:ascii="宋体" w:eastAsia="宋体" w:hAnsi="宋体" w:cs="宋体" w:hint="eastAsia"/>
                <w:sz w:val="18"/>
                <w:szCs w:val="18"/>
                <w:lang w:eastAsia="zh-CN"/>
              </w:rPr>
            </w:pPr>
          </w:p>
        </w:tc>
      </w:tr>
      <w:tr w:rsidR="0001615B" w14:paraId="51360BB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C034515" w14:textId="77777777" w:rsidR="0001615B" w:rsidRDefault="0001615B">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147DFEB7"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40A15BEB"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保育完成率</w:t>
            </w:r>
          </w:p>
        </w:tc>
        <w:tc>
          <w:tcPr>
            <w:tcW w:w="1276" w:type="dxa"/>
            <w:tcBorders>
              <w:top w:val="nil"/>
              <w:left w:val="nil"/>
              <w:bottom w:val="single" w:sz="4" w:space="0" w:color="auto"/>
              <w:right w:val="single" w:sz="4" w:space="0" w:color="auto"/>
            </w:tcBorders>
            <w:noWrap/>
            <w:vAlign w:val="center"/>
          </w:tcPr>
          <w:p w14:paraId="09500B02"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5EC30DE3" w14:textId="77777777" w:rsidR="0001615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7BF8A636"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0D0D6346"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55A63F6F" w14:textId="77777777" w:rsidR="0001615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65DC5858" w14:textId="77777777" w:rsidR="0001615B" w:rsidRDefault="0001615B">
            <w:pPr>
              <w:spacing w:after="0" w:line="240" w:lineRule="auto"/>
              <w:jc w:val="center"/>
              <w:rPr>
                <w:rFonts w:ascii="宋体" w:eastAsia="宋体" w:hAnsi="宋体" w:cs="宋体" w:hint="eastAsia"/>
                <w:sz w:val="18"/>
                <w:szCs w:val="18"/>
                <w:lang w:eastAsia="zh-CN"/>
              </w:rPr>
            </w:pPr>
          </w:p>
        </w:tc>
      </w:tr>
    </w:tbl>
    <w:p w14:paraId="216BA2CD" w14:textId="77777777" w:rsidR="0001615B"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br w:type="page"/>
      </w:r>
      <w:bookmarkEnd w:id="0"/>
    </w:p>
    <w:p w14:paraId="395164F8" w14:textId="77777777" w:rsidR="0001615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029B576A" w14:textId="77777777" w:rsidR="0001615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1C751E67" w14:textId="77777777" w:rsidR="0001615B" w:rsidRDefault="0001615B">
      <w:pPr>
        <w:spacing w:after="0" w:line="240" w:lineRule="auto"/>
        <w:ind w:firstLineChars="200" w:firstLine="640"/>
        <w:rPr>
          <w:rFonts w:ascii="仿宋_GB2312" w:eastAsia="仿宋_GB2312"/>
          <w:sz w:val="32"/>
          <w:szCs w:val="32"/>
          <w:lang w:eastAsia="zh-CN"/>
        </w:rPr>
      </w:pPr>
    </w:p>
    <w:p w14:paraId="541C254B" w14:textId="77777777" w:rsidR="0001615B" w:rsidRDefault="00000000">
      <w:pPr>
        <w:rPr>
          <w:lang w:eastAsia="zh-CN"/>
        </w:rPr>
      </w:pPr>
      <w:r>
        <w:rPr>
          <w:sz w:val="0"/>
          <w:szCs w:val="0"/>
          <w:lang w:eastAsia="zh-CN"/>
        </w:rPr>
        <w:br w:type="page"/>
      </w:r>
    </w:p>
    <w:p w14:paraId="56CF90DA" w14:textId="77777777" w:rsidR="0001615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3F4D688"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2D7095C"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E8EBBE7"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4CB7093"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BAA8135"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72BA4DF"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060D7F3"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E49766B"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50CB7F"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D9BC52A"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BE7CA2D"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6440C2B"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B93B612"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CBCB252" w14:textId="77777777" w:rsidR="0001615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E11CF33" w14:textId="77777777" w:rsidR="0001615B" w:rsidRDefault="00000000">
      <w:pPr>
        <w:rPr>
          <w:lang w:eastAsia="zh-CN"/>
        </w:rPr>
      </w:pPr>
      <w:r>
        <w:rPr>
          <w:sz w:val="0"/>
          <w:szCs w:val="0"/>
          <w:lang w:eastAsia="zh-CN"/>
        </w:rPr>
        <w:br w:type="page"/>
      </w:r>
    </w:p>
    <w:p w14:paraId="0C46C873" w14:textId="77777777" w:rsidR="0001615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2848D11" w14:textId="77777777" w:rsidR="0001615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2247BE1" w14:textId="77777777" w:rsidR="0001615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CB10AC7" w14:textId="77777777" w:rsidR="0001615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EF75C4C" w14:textId="77777777" w:rsidR="0001615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29C9E96" w14:textId="77777777" w:rsidR="0001615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D7CA534" w14:textId="77777777" w:rsidR="0001615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1DA8505" w14:textId="77777777" w:rsidR="0001615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72DF571" w14:textId="77777777" w:rsidR="0001615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92DEE27" w14:textId="77777777" w:rsidR="0001615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1615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D11B3" w14:textId="77777777" w:rsidR="00A95752" w:rsidRDefault="00A95752">
      <w:pPr>
        <w:spacing w:line="240" w:lineRule="auto"/>
      </w:pPr>
      <w:r>
        <w:separator/>
      </w:r>
    </w:p>
  </w:endnote>
  <w:endnote w:type="continuationSeparator" w:id="0">
    <w:p w14:paraId="3785784F" w14:textId="77777777" w:rsidR="00A95752" w:rsidRDefault="00A957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879A6" w14:textId="77777777" w:rsidR="00A95752" w:rsidRDefault="00A95752">
      <w:pPr>
        <w:spacing w:after="0"/>
      </w:pPr>
      <w:r>
        <w:separator/>
      </w:r>
    </w:p>
  </w:footnote>
  <w:footnote w:type="continuationSeparator" w:id="0">
    <w:p w14:paraId="4EF82D36" w14:textId="77777777" w:rsidR="00A95752" w:rsidRDefault="00A9575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E5784"/>
    <w:rsid w:val="0001615B"/>
    <w:rsid w:val="006D738D"/>
    <w:rsid w:val="006E5784"/>
    <w:rsid w:val="007F6713"/>
    <w:rsid w:val="009949DA"/>
    <w:rsid w:val="00A95752"/>
    <w:rsid w:val="00D30DB1"/>
    <w:rsid w:val="00DA2FEC"/>
    <w:rsid w:val="07AD73AB"/>
    <w:rsid w:val="18212D0F"/>
    <w:rsid w:val="1CF01630"/>
    <w:rsid w:val="2424304F"/>
    <w:rsid w:val="2FE203C6"/>
    <w:rsid w:val="500342D0"/>
    <w:rsid w:val="5B7E1290"/>
    <w:rsid w:val="60FF065F"/>
    <w:rsid w:val="70F01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AE7DC"/>
  <w15:docId w15:val="{7F9065B2-B1EE-4AF9-8A1C-0A810B29F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3173</Words>
  <Characters>3554</Characters>
  <Application>Microsoft Office Word</Application>
  <DocSecurity>0</DocSecurity>
  <Lines>222</Lines>
  <Paragraphs>192</Paragraphs>
  <ScaleCrop>false</ScaleCrop>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慧 吉</cp:lastModifiedBy>
  <cp:revision>3</cp:revision>
  <dcterms:created xsi:type="dcterms:W3CDTF">2025-09-01T08:06:00Z</dcterms:created>
  <dcterms:modified xsi:type="dcterms:W3CDTF">2025-12-16T03:05:00Z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eyJoZGlkIjoiNTlkZWQ3ZWZiOGVhYTk1OTExMjBmYWQ4ZjAxNTk5MTciLCJ1c2VySWQiOiI5MTU3NDI2MDkifQ==</vt:lpwstr>
  </property>
  <property fmtid="{D5CDD505-2E9C-101B-9397-08002B2CF9AE}" pid="3" name="KSOProductBuildVer">
    <vt:lpwstr>2052-12.1.0.23542</vt:lpwstr>
  </property>
  <property fmtid="{D5CDD505-2E9C-101B-9397-08002B2CF9AE}" pid="4" name="ICV">
    <vt:lpwstr>FFA1346D50F14300BDB3945EA8620E03_12</vt:lpwstr>
  </property>
</Properties>
</file>