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65DB7">
      <w:pPr>
        <w:spacing w:after="0" w:line="240" w:lineRule="auto"/>
        <w:rPr>
          <w:rFonts w:ascii="宋体" w:eastAsia="宋体"/>
          <w:sz w:val="32"/>
          <w:szCs w:val="32"/>
        </w:rPr>
      </w:pPr>
    </w:p>
    <w:p w14:paraId="0F05D9F9">
      <w:pPr>
        <w:spacing w:after="0" w:line="240" w:lineRule="auto"/>
        <w:rPr>
          <w:rFonts w:ascii="宋体" w:eastAsia="宋体"/>
          <w:sz w:val="44"/>
          <w:szCs w:val="44"/>
        </w:rPr>
      </w:pPr>
    </w:p>
    <w:p w14:paraId="6E87EA8A">
      <w:pPr>
        <w:spacing w:after="0" w:line="240" w:lineRule="auto"/>
        <w:rPr>
          <w:rFonts w:ascii="宋体" w:eastAsia="宋体"/>
          <w:sz w:val="44"/>
          <w:szCs w:val="44"/>
        </w:rPr>
      </w:pPr>
    </w:p>
    <w:p w14:paraId="6F3DB31B">
      <w:pPr>
        <w:spacing w:after="0" w:line="240" w:lineRule="auto"/>
        <w:rPr>
          <w:rFonts w:ascii="宋体" w:eastAsia="宋体"/>
          <w:sz w:val="44"/>
          <w:szCs w:val="44"/>
        </w:rPr>
      </w:pPr>
    </w:p>
    <w:p w14:paraId="2D0D0021">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昌吉市第六幼儿园</w:t>
      </w:r>
    </w:p>
    <w:p w14:paraId="66CACC6D">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D1154A8">
      <w:pPr>
        <w:rPr>
          <w:lang w:eastAsia="zh-CN"/>
        </w:rPr>
      </w:pPr>
      <w:r>
        <w:rPr>
          <w:sz w:val="0"/>
          <w:szCs w:val="0"/>
          <w:lang w:eastAsia="zh-CN"/>
        </w:rPr>
        <w:br w:type="page"/>
      </w:r>
    </w:p>
    <w:p w14:paraId="6CE96973">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517F585D">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1D6DBDBB">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16146F86">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907313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13F6B92F">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B2B0322">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3C241EFF">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0C5E8FD">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3880F45">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5BEB058">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F7FF77D">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B462FE2">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EA7B0CB">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22361E5C">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1377542">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79A238B">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0F5258AD">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65209BC5">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2F04B3E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2757403">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4EF0768C">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7A00C26E">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0A2FF38B">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6C9EDF74">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25EF5BAE">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A9CE379">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FCF7AD1">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5A75FF1">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1188D59">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5F35F49">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49B1FBA">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E1D02DB">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A034EB1">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6BEED2E9">
      <w:pPr>
        <w:rPr>
          <w:lang w:eastAsia="zh-CN"/>
        </w:rPr>
      </w:pPr>
      <w:r>
        <w:rPr>
          <w:sz w:val="0"/>
          <w:szCs w:val="0"/>
          <w:lang w:eastAsia="zh-CN"/>
        </w:rPr>
        <w:br w:type="page"/>
      </w:r>
    </w:p>
    <w:p w14:paraId="441E232A">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 单位概况</w:t>
      </w:r>
    </w:p>
    <w:p w14:paraId="5337D91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 一、主要职能</w:t>
      </w:r>
    </w:p>
    <w:p w14:paraId="209081E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我单位主要职能是负责贯彻执行国家对幼儿保育和教育的路线、方针、政策，为学龄前儿童提供保育和教育服务。本着保育和教育相结合的原则,对幼儿实施德、智、体、美全面发展的教育,促进其身心和谐健康发展。</w:t>
      </w:r>
    </w:p>
    <w:p w14:paraId="62D545E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2AE687F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昌吉市第六幼儿园2024年度，实有人数17人，其中：在职人员17人，减少39人；离休人员0人，较上年无变化；退休人员0人，较上年无变化。</w:t>
      </w:r>
    </w:p>
    <w:p w14:paraId="68FB675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昌吉市第六幼儿园无下属预算单位，下设3个科室，分别是：办公室、保教办、安全后勤办。</w:t>
      </w:r>
    </w:p>
    <w:p w14:paraId="0FB89FE5">
      <w:pPr>
        <w:rPr>
          <w:lang w:eastAsia="zh-CN"/>
        </w:rPr>
      </w:pPr>
      <w:r>
        <w:rPr>
          <w:sz w:val="0"/>
          <w:szCs w:val="0"/>
          <w:lang w:eastAsia="zh-CN"/>
        </w:rPr>
        <w:br w:type="page"/>
      </w:r>
    </w:p>
    <w:p w14:paraId="38DAD082">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3D7DED8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230E603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2024年度收入总计496.50万元，其中：本年收入合计489.29万元，使用非财政拨款结余（含专用结余）0.00万元，年初结转和结余7.21万元。</w:t>
      </w:r>
    </w:p>
    <w:p w14:paraId="798EB1D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2024年度支出总计496.50万元，其中：本年支出合计496.25万元，结余分配0.00万元，年末结转和结余0.25万元。</w:t>
      </w:r>
    </w:p>
    <w:p w14:paraId="724A63D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收入支出总体与上年相比，减少889.66万元，下降64.18%，主要原因是：</w:t>
      </w:r>
      <w:r>
        <w:rPr>
          <w:rFonts w:hint="eastAsia" w:ascii="仿宋_GB2312" w:eastAsia="仿宋_GB2312"/>
          <w:sz w:val="32"/>
          <w:szCs w:val="32"/>
          <w:lang w:eastAsia="zh-CN"/>
        </w:rPr>
        <w:t>单位本年人员减少，相应人员工资、津贴补贴、奖金等经费减少</w:t>
      </w:r>
      <w:r>
        <w:rPr>
          <w:rFonts w:ascii="仿宋_GB2312" w:eastAsia="仿宋_GB2312"/>
          <w:sz w:val="32"/>
          <w:szCs w:val="32"/>
          <w:lang w:eastAsia="zh-CN"/>
        </w:rPr>
        <w:t>。</w:t>
      </w:r>
    </w:p>
    <w:p w14:paraId="2AE5395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36D5EA1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本年收入489.29万元，其中：财政拨款收入489.29万元,占100.00%；上级补助收入0.00万元,占0.00%；事业收入0.00万元，占0.00%；经营收入0.00万元,占0.00%；附属单位上缴收入0.00万元，占0.00%；其他收入0.00万元，占0.00%。</w:t>
      </w:r>
    </w:p>
    <w:p w14:paraId="4783521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13F2453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本年支出496.25万元，其中：基本支出459.96万元，占92.69%；项目支出36.29万元，占7.31%；上缴上级支出0.00万元，占0.00%；经营支出0.00万元，占0.00%；对附属单位补助支出0.00万元，占0.00%。</w:t>
      </w:r>
    </w:p>
    <w:p w14:paraId="5055C2D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0520A1F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2024年度财政拨款收入总计489.29万元，其中：年初财政拨款结转和结余0.00万元，本年财政拨款收入489.29万元。财政拨款支出总计489.29万元，其中：年末财政拨款结转和结余0.00万元，本年财政拨款支出489.29万元。</w:t>
      </w:r>
    </w:p>
    <w:p w14:paraId="4FF2AE9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财政拨款收入支出总体与上年相比，减少769.58万元，下降61.13%，主要原因是：</w:t>
      </w:r>
      <w:r>
        <w:rPr>
          <w:rFonts w:hint="eastAsia" w:ascii="仿宋_GB2312" w:eastAsia="仿宋_GB2312"/>
          <w:sz w:val="32"/>
          <w:szCs w:val="32"/>
          <w:lang w:eastAsia="zh-CN"/>
        </w:rPr>
        <w:t>单位本年人员减少，相应人员工资、津贴补贴、奖金等经费减少</w:t>
      </w:r>
      <w:r>
        <w:rPr>
          <w:rFonts w:ascii="仿宋_GB2312" w:eastAsia="仿宋_GB2312"/>
          <w:sz w:val="32"/>
          <w:szCs w:val="32"/>
          <w:lang w:eastAsia="zh-CN"/>
        </w:rPr>
        <w:t>。与年初预算相比，年初预算数413.08万元，决算数489.29万元，预决算差异率18.45%，主要原因是：年中追加自治区教育项目经费自聘教师工资补助项目经费、城镇幼儿园公用经费。</w:t>
      </w:r>
    </w:p>
    <w:p w14:paraId="2C1FB3B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73F22F0">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2C2C43C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2024年度一般公共预算财政拨款支出489.29万元，占本年支出合计的98.60%。与上年相比，减少737.13万元，下降60.10%，主要原因是：单位本年下属两个分园独立划分出去</w:t>
      </w:r>
      <w:r>
        <w:rPr>
          <w:rFonts w:hint="eastAsia" w:ascii="仿宋_GB2312" w:eastAsia="仿宋_GB2312"/>
          <w:sz w:val="32"/>
          <w:szCs w:val="32"/>
          <w:lang w:eastAsia="zh-CN"/>
        </w:rPr>
        <w:t>，单位本年人员减少，相应人员工资、津贴补贴、奖金等经费减少</w:t>
      </w:r>
      <w:r>
        <w:rPr>
          <w:rFonts w:ascii="仿宋_GB2312" w:eastAsia="仿宋_GB2312"/>
          <w:sz w:val="32"/>
          <w:szCs w:val="32"/>
          <w:lang w:eastAsia="zh-CN"/>
        </w:rPr>
        <w:t>。与年初预算相比，年初预算数413.08万元，决算数489.29万元，预决算差异率18.45%，主要原因是：年中追加自治区教育项目经费自聘教师工资补助项目经费、城镇幼儿园公用经费。</w:t>
      </w:r>
    </w:p>
    <w:p w14:paraId="3930128A">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0444004B">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.教育支出（类）489.29万元，占100.00%。</w:t>
      </w:r>
    </w:p>
    <w:p w14:paraId="3FCBEDA6">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0D68E02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1、教育支出（类）普通教育（款）学前教育（项）：支出决算数为467.29万元，比上年决算减少758.59万元，下降61.88%，主要原因是：</w:t>
      </w:r>
      <w:r>
        <w:rPr>
          <w:rFonts w:hint="eastAsia" w:ascii="仿宋_GB2312" w:eastAsia="仿宋_GB2312"/>
          <w:sz w:val="32"/>
          <w:szCs w:val="32"/>
          <w:lang w:eastAsia="zh-CN"/>
        </w:rPr>
        <w:t>单位本年人员减少，相应人员工资、津贴补贴、奖金等经费减少</w:t>
      </w:r>
      <w:r>
        <w:rPr>
          <w:rFonts w:ascii="仿宋_GB2312" w:eastAsia="仿宋_GB2312"/>
          <w:sz w:val="32"/>
          <w:szCs w:val="32"/>
          <w:lang w:eastAsia="zh-CN"/>
        </w:rPr>
        <w:t>。</w:t>
      </w:r>
    </w:p>
    <w:p w14:paraId="0B6D2D9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2、教育支出（类）教育费附加安排的支出（款）其他教育费附加安排的支出（项）：支出决算数为22.00万元，比上年决算增加22.00万元，增长100.00%，主要原因是：单位本年城镇幼儿园公用经费增加。</w:t>
      </w:r>
    </w:p>
    <w:p w14:paraId="767B9EE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3、社会保障和就业支出（类）行政事业单位养老支出（款）机关事业单位职业年金缴费支出（项）：支出决算数为0.00万元，比上年决算减少0.54万元，下降100.00%，主要原因是：</w:t>
      </w:r>
      <w:r>
        <w:rPr>
          <w:rFonts w:hint="eastAsia" w:ascii="仿宋_GB2312" w:eastAsia="仿宋_GB2312"/>
          <w:sz w:val="32"/>
          <w:szCs w:val="32"/>
          <w:lang w:eastAsia="zh-CN"/>
        </w:rPr>
        <w:t>单位本年退休人员一次性职业年金缴费减少</w:t>
      </w:r>
      <w:r>
        <w:rPr>
          <w:rFonts w:ascii="仿宋_GB2312" w:eastAsia="仿宋_GB2312"/>
          <w:sz w:val="32"/>
          <w:szCs w:val="32"/>
          <w:lang w:eastAsia="zh-CN"/>
        </w:rPr>
        <w:t>。</w:t>
      </w:r>
    </w:p>
    <w:p w14:paraId="7F8BC69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04EF54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453.00万元，其中：人员经费419.64万元，包括：基本工资、津贴补贴、奖金、机关事业单位基本养老保险缴费、职工基本医疗保险缴费、公务员医疗补助缴费、其他社会保障缴费、住房公积金、医疗费和其他工资福利支出。</w:t>
      </w:r>
    </w:p>
    <w:p w14:paraId="6023D3C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公用经费33.37万元，包括：办公费、手续费、水费、电费、邮电费、取暖费、维修（护）费、专用材料费、劳务费、其他商品和服务支出和专用设备购置。</w:t>
      </w:r>
    </w:p>
    <w:p w14:paraId="5981056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5B87D5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1ADF67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9D4BDA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17C464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67A1A5E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3F66760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58CA754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因公出国（境）费支出0.00万元，开支内容包括单位本年无因公出国（境）费支出。单位全年安排的因公出国（境）团组0个，因公出国（境）0人次。</w:t>
      </w:r>
    </w:p>
    <w:p w14:paraId="6A013DD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w:t>
      </w:r>
      <w:bookmarkStart w:id="1" w:name="_GoBack"/>
      <w:bookmarkEnd w:id="1"/>
      <w:r>
        <w:rPr>
          <w:rFonts w:ascii="仿宋_GB2312" w:eastAsia="仿宋_GB2312"/>
          <w:sz w:val="32"/>
          <w:szCs w:val="32"/>
          <w:lang w:eastAsia="zh-CN"/>
        </w:rPr>
        <w:t>单位本年无公务用车运行维护费。公务用车购置数0辆，公务用车保有量0辆。国有资产占用情况中固定资产车辆0辆，与公务用车保有量差异原因是：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4CAE4B4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公务接待费0.00万元，开支内容包括单位本年无公务接待费支出。单位全年安排的国内公务接待0批次，0人次。</w:t>
      </w:r>
    </w:p>
    <w:p w14:paraId="558ACB6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48A9AB0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3013BE88">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008132B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2024年度昌吉市第六幼儿园单位（事业单位）公用经费支出33.37万元，比上年减少44.76万元，下降57.29%，主要原因是：单位本年</w:t>
      </w:r>
      <w:r>
        <w:rPr>
          <w:rFonts w:hint="eastAsia" w:ascii="仿宋_GB2312" w:eastAsia="仿宋_GB2312"/>
          <w:sz w:val="32"/>
          <w:szCs w:val="32"/>
          <w:lang w:eastAsia="zh-CN"/>
        </w:rPr>
        <w:t>办公费、水费、电费、邮电费、取暖费</w:t>
      </w:r>
      <w:r>
        <w:rPr>
          <w:rFonts w:ascii="仿宋_GB2312" w:eastAsia="仿宋_GB2312"/>
          <w:sz w:val="32"/>
          <w:szCs w:val="32"/>
          <w:lang w:eastAsia="zh-CN"/>
        </w:rPr>
        <w:t>减少。</w:t>
      </w:r>
    </w:p>
    <w:p w14:paraId="778338A5">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14:paraId="00210B8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2024年度政府采购支出总额5.61万元，其中：政府采购货物支出5.61万元、政府采购工程支出0.00万元、政府采购服务支出0.00万元。</w:t>
      </w:r>
    </w:p>
    <w:p w14:paraId="0EC4FE1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授予中小企业合同金额5.61万元，占政府采购支出总额的100.00%，其中：授予小微企业合同金额5.61万元，占政府采购支出总额的100.00%。</w:t>
      </w:r>
    </w:p>
    <w:p w14:paraId="36554281">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14:paraId="7FE517E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截至2024年12月31日，房屋6,220.00平方米，价值1,007.44万元。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2D2B81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38ECDC4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根据预算绩效管理要求，本单位2024年度预算绩效管理形成整体支出绩效自评表1个，全年预算总额496.50万元，实际执行总额496.25万元；预算绩效评价项目</w:t>
      </w:r>
      <w:r>
        <w:rPr>
          <w:rFonts w:hint="eastAsia" w:ascii="仿宋_GB2312" w:eastAsia="仿宋_GB2312"/>
          <w:sz w:val="32"/>
          <w:szCs w:val="32"/>
          <w:lang w:eastAsia="zh-CN"/>
        </w:rPr>
        <w:t>1</w:t>
      </w:r>
      <w:r>
        <w:rPr>
          <w:rFonts w:ascii="仿宋_GB2312" w:eastAsia="仿宋_GB2312"/>
          <w:sz w:val="32"/>
          <w:szCs w:val="32"/>
          <w:lang w:eastAsia="zh-CN"/>
        </w:rPr>
        <w:t>个，全年预算数2.00万元，全年执行数2.00万元。预算绩效管理取得的成效：一是通过保教费项目的实施，提高教学质量</w:t>
      </w:r>
      <w:r>
        <w:rPr>
          <w:rFonts w:hint="eastAsia" w:ascii="仿宋_GB2312" w:eastAsia="仿宋_GB2312"/>
          <w:sz w:val="32"/>
          <w:szCs w:val="32"/>
          <w:lang w:eastAsia="zh-CN"/>
        </w:rPr>
        <w:t>，绩效目标编制全覆盖，年初预算、追加预算、重点项目等都进行了绩效目标编制</w:t>
      </w:r>
      <w:r>
        <w:rPr>
          <w:rFonts w:ascii="仿宋_GB2312" w:eastAsia="仿宋_GB2312"/>
          <w:sz w:val="32"/>
          <w:szCs w:val="32"/>
          <w:lang w:eastAsia="zh-CN"/>
        </w:rPr>
        <w:t>；二是通过育才项目，促进教育水平的提升</w:t>
      </w:r>
      <w:r>
        <w:rPr>
          <w:rFonts w:hint="eastAsia" w:ascii="仿宋_GB2312" w:eastAsia="仿宋_GB2312"/>
          <w:sz w:val="32"/>
          <w:szCs w:val="32"/>
          <w:lang w:eastAsia="zh-CN"/>
        </w:rPr>
        <w:t>，通过绩效评价的实施，积极反馈科室整改，补齐短板</w:t>
      </w:r>
      <w:r>
        <w:rPr>
          <w:rFonts w:ascii="仿宋_GB2312" w:eastAsia="仿宋_GB2312"/>
          <w:sz w:val="32"/>
          <w:szCs w:val="32"/>
          <w:lang w:eastAsia="zh-CN"/>
        </w:rPr>
        <w:t>。发现的问题及原因：一是工作机制有待进一步完善，在平时工作中需要加强绩效监控工作的重视</w:t>
      </w:r>
      <w:r>
        <w:rPr>
          <w:rFonts w:hint="eastAsia" w:ascii="仿宋_GB2312" w:eastAsia="仿宋_GB2312"/>
          <w:sz w:val="32"/>
          <w:szCs w:val="32"/>
          <w:lang w:eastAsia="zh-CN"/>
        </w:rPr>
        <w:t>，绩效标准不健全，绩效目标的设置还不科学，预算资金与绩效目标之间的匹配程度还不够高，目标审核基本上还是形式性审核，实质性审核程度不高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二是绩效监控工作容易滞后，未形成对绩效目标进行监控的习惯。下一步改进措施：一是在今后的工作一方面要严格预算编制，做到细化精确；二是定期对预算执行情况进行监督，使绩效目标监控与政府工作、财务工作挂钩，做到及时监控，及时控制，避免疏忽。具体附部门整体支出绩效自评表，项目支出绩效自评表和部门评价报告。</w:t>
      </w:r>
    </w:p>
    <w:p w14:paraId="71CADFFC">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0EFFCB19">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7242B300">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061F3E00">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779A3726">
            <w:pPr>
              <w:jc w:val="center"/>
              <w:rPr>
                <w:rFonts w:hint="eastAsia" w:ascii="宋体" w:hAnsi="宋体" w:eastAsia="宋体" w:cs="宋体"/>
                <w:b/>
                <w:bCs/>
                <w:sz w:val="18"/>
                <w:szCs w:val="18"/>
              </w:rPr>
            </w:pPr>
            <w:r>
              <w:rPr>
                <w:rFonts w:hint="eastAsia" w:ascii="宋体" w:hAnsi="宋体" w:eastAsia="宋体" w:cs="宋体"/>
                <w:b/>
                <w:bCs/>
                <w:sz w:val="18"/>
                <w:szCs w:val="18"/>
              </w:rPr>
              <w:t>昌吉市第六幼儿园</w:t>
            </w:r>
          </w:p>
        </w:tc>
      </w:tr>
      <w:tr w14:paraId="4A187768">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3D9ED22">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5A6AD4A4">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4F6C869F">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117562F2">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5F61A7F1">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4074B413">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582D097A">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52D17F96">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1430BD87">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7A9A96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32D56981">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403D487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0A11C57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66D11D9A">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7F697FB2">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0D54DF4E">
            <w:pPr>
              <w:jc w:val="center"/>
              <w:rPr>
                <w:rFonts w:hint="eastAsia" w:ascii="宋体" w:hAnsi="宋体" w:eastAsia="宋体" w:cs="宋体"/>
                <w:sz w:val="18"/>
                <w:szCs w:val="18"/>
              </w:rPr>
            </w:pPr>
            <w:r>
              <w:rPr>
                <w:rFonts w:hint="eastAsia" w:ascii="宋体" w:hAnsi="宋体" w:eastAsia="宋体" w:cs="宋体"/>
                <w:sz w:val="18"/>
                <w:szCs w:val="18"/>
              </w:rPr>
              <w:t>99.95%</w:t>
            </w:r>
          </w:p>
        </w:tc>
        <w:tc>
          <w:tcPr>
            <w:tcW w:w="720" w:type="dxa"/>
            <w:tcBorders>
              <w:top w:val="nil"/>
              <w:left w:val="nil"/>
              <w:bottom w:val="single" w:color="auto" w:sz="4" w:space="0"/>
              <w:right w:val="single" w:color="auto" w:sz="4" w:space="0"/>
            </w:tcBorders>
            <w:vAlign w:val="center"/>
          </w:tcPr>
          <w:p w14:paraId="0C076EC2">
            <w:pPr>
              <w:jc w:val="center"/>
              <w:rPr>
                <w:rFonts w:hint="eastAsia" w:ascii="宋体" w:hAnsi="宋体" w:eastAsia="宋体" w:cs="宋体"/>
                <w:sz w:val="18"/>
                <w:szCs w:val="18"/>
              </w:rPr>
            </w:pPr>
            <w:r>
              <w:rPr>
                <w:rFonts w:hint="eastAsia" w:ascii="宋体" w:hAnsi="宋体" w:eastAsia="宋体" w:cs="宋体"/>
                <w:sz w:val="18"/>
                <w:szCs w:val="18"/>
              </w:rPr>
              <w:t>9.95</w:t>
            </w:r>
          </w:p>
        </w:tc>
      </w:tr>
      <w:tr w14:paraId="25967474">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CE3AE9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5ADF328">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6D561B9F">
            <w:pPr>
              <w:jc w:val="center"/>
              <w:rPr>
                <w:rFonts w:hint="eastAsia" w:ascii="宋体" w:hAnsi="宋体" w:eastAsia="宋体" w:cs="宋体"/>
                <w:sz w:val="18"/>
                <w:szCs w:val="18"/>
              </w:rPr>
            </w:pPr>
            <w:r>
              <w:rPr>
                <w:rFonts w:hint="eastAsia" w:ascii="宋体" w:hAnsi="宋体" w:eastAsia="宋体" w:cs="宋体"/>
                <w:sz w:val="18"/>
                <w:szCs w:val="18"/>
              </w:rPr>
              <w:t>413.08</w:t>
            </w:r>
          </w:p>
        </w:tc>
        <w:tc>
          <w:tcPr>
            <w:tcW w:w="1242" w:type="dxa"/>
            <w:tcBorders>
              <w:top w:val="nil"/>
              <w:left w:val="nil"/>
              <w:bottom w:val="single" w:color="auto" w:sz="4" w:space="0"/>
              <w:right w:val="single" w:color="auto" w:sz="4" w:space="0"/>
            </w:tcBorders>
            <w:vAlign w:val="center"/>
          </w:tcPr>
          <w:p w14:paraId="1B6E97A7">
            <w:pPr>
              <w:jc w:val="center"/>
              <w:rPr>
                <w:rFonts w:hint="eastAsia" w:ascii="宋体" w:hAnsi="宋体" w:eastAsia="宋体" w:cs="宋体"/>
                <w:sz w:val="18"/>
                <w:szCs w:val="18"/>
              </w:rPr>
            </w:pPr>
            <w:r>
              <w:rPr>
                <w:rFonts w:hint="eastAsia" w:ascii="宋体" w:hAnsi="宋体" w:eastAsia="宋体" w:cs="宋体"/>
                <w:sz w:val="18"/>
                <w:szCs w:val="18"/>
              </w:rPr>
              <w:t>496.50</w:t>
            </w:r>
          </w:p>
        </w:tc>
        <w:tc>
          <w:tcPr>
            <w:tcW w:w="1417" w:type="dxa"/>
            <w:tcBorders>
              <w:top w:val="nil"/>
              <w:left w:val="nil"/>
              <w:bottom w:val="single" w:color="auto" w:sz="4" w:space="0"/>
              <w:right w:val="single" w:color="auto" w:sz="4" w:space="0"/>
            </w:tcBorders>
            <w:vAlign w:val="center"/>
          </w:tcPr>
          <w:p w14:paraId="7CBCA2ED">
            <w:pPr>
              <w:jc w:val="center"/>
              <w:rPr>
                <w:rFonts w:hint="eastAsia" w:ascii="宋体" w:hAnsi="宋体" w:eastAsia="宋体" w:cs="宋体"/>
                <w:sz w:val="18"/>
                <w:szCs w:val="18"/>
              </w:rPr>
            </w:pPr>
            <w:r>
              <w:rPr>
                <w:rFonts w:hint="eastAsia" w:ascii="宋体" w:hAnsi="宋体" w:eastAsia="宋体" w:cs="宋体"/>
                <w:sz w:val="18"/>
                <w:szCs w:val="18"/>
              </w:rPr>
              <w:t>496.25</w:t>
            </w:r>
          </w:p>
        </w:tc>
        <w:tc>
          <w:tcPr>
            <w:tcW w:w="1134" w:type="dxa"/>
            <w:tcBorders>
              <w:top w:val="nil"/>
              <w:left w:val="nil"/>
              <w:bottom w:val="single" w:color="auto" w:sz="4" w:space="0"/>
              <w:right w:val="single" w:color="auto" w:sz="4" w:space="0"/>
            </w:tcBorders>
            <w:vAlign w:val="center"/>
          </w:tcPr>
          <w:p w14:paraId="6BC36651">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423913F5">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2BF7273">
            <w:pPr>
              <w:jc w:val="center"/>
              <w:rPr>
                <w:rFonts w:hint="eastAsia" w:ascii="宋体" w:hAnsi="宋体" w:eastAsia="宋体" w:cs="宋体"/>
                <w:sz w:val="18"/>
                <w:szCs w:val="18"/>
              </w:rPr>
            </w:pPr>
            <w:r>
              <w:rPr>
                <w:rFonts w:hint="eastAsia" w:ascii="宋体" w:hAnsi="宋体" w:eastAsia="宋体"/>
                <w:sz w:val="18"/>
                <w:szCs w:val="18"/>
              </w:rPr>
              <w:t>-</w:t>
            </w:r>
          </w:p>
        </w:tc>
      </w:tr>
      <w:tr w14:paraId="65BC71FC">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7FE5558">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31CC439">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51A07B79">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14ADB6B6">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6747313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313807AA">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4D8AC1D3">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F3A96EA">
            <w:pPr>
              <w:jc w:val="center"/>
              <w:rPr>
                <w:rFonts w:hint="eastAsia" w:ascii="宋体" w:hAnsi="宋体" w:eastAsia="宋体" w:cs="宋体"/>
                <w:sz w:val="18"/>
                <w:szCs w:val="18"/>
              </w:rPr>
            </w:pPr>
            <w:r>
              <w:rPr>
                <w:rFonts w:hint="eastAsia" w:ascii="宋体" w:hAnsi="宋体" w:eastAsia="宋体"/>
                <w:sz w:val="18"/>
                <w:szCs w:val="18"/>
              </w:rPr>
              <w:t>-</w:t>
            </w:r>
          </w:p>
        </w:tc>
      </w:tr>
      <w:tr w14:paraId="4530D0A2">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96DCEBB">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4A08AEA">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2DFE0894">
            <w:pPr>
              <w:jc w:val="center"/>
              <w:rPr>
                <w:rFonts w:hint="eastAsia" w:ascii="宋体" w:hAnsi="宋体" w:eastAsia="宋体" w:cs="宋体"/>
                <w:sz w:val="18"/>
                <w:szCs w:val="18"/>
              </w:rPr>
            </w:pPr>
            <w:r>
              <w:rPr>
                <w:rFonts w:hint="eastAsia" w:ascii="宋体" w:hAnsi="宋体" w:eastAsia="宋体" w:cs="宋体"/>
                <w:sz w:val="18"/>
                <w:szCs w:val="18"/>
              </w:rPr>
              <w:t>413.08</w:t>
            </w:r>
          </w:p>
        </w:tc>
        <w:tc>
          <w:tcPr>
            <w:tcW w:w="1242" w:type="dxa"/>
            <w:tcBorders>
              <w:top w:val="nil"/>
              <w:left w:val="nil"/>
              <w:bottom w:val="single" w:color="auto" w:sz="4" w:space="0"/>
              <w:right w:val="single" w:color="auto" w:sz="4" w:space="0"/>
            </w:tcBorders>
            <w:vAlign w:val="center"/>
          </w:tcPr>
          <w:p w14:paraId="059BD9E1">
            <w:pPr>
              <w:jc w:val="center"/>
              <w:rPr>
                <w:rFonts w:hint="eastAsia" w:ascii="宋体" w:hAnsi="宋体" w:eastAsia="宋体" w:cs="宋体"/>
                <w:sz w:val="18"/>
                <w:szCs w:val="18"/>
              </w:rPr>
            </w:pPr>
            <w:r>
              <w:rPr>
                <w:rFonts w:hint="eastAsia" w:ascii="宋体" w:hAnsi="宋体" w:eastAsia="宋体" w:cs="宋体"/>
                <w:sz w:val="18"/>
                <w:szCs w:val="18"/>
              </w:rPr>
              <w:t>496.50</w:t>
            </w:r>
          </w:p>
        </w:tc>
        <w:tc>
          <w:tcPr>
            <w:tcW w:w="1417" w:type="dxa"/>
            <w:tcBorders>
              <w:top w:val="nil"/>
              <w:left w:val="nil"/>
              <w:bottom w:val="single" w:color="auto" w:sz="4" w:space="0"/>
              <w:right w:val="single" w:color="auto" w:sz="4" w:space="0"/>
            </w:tcBorders>
            <w:vAlign w:val="center"/>
          </w:tcPr>
          <w:p w14:paraId="4702447C">
            <w:pPr>
              <w:jc w:val="center"/>
              <w:rPr>
                <w:rFonts w:hint="eastAsia" w:ascii="宋体" w:hAnsi="宋体" w:eastAsia="宋体" w:cs="宋体"/>
                <w:sz w:val="18"/>
                <w:szCs w:val="18"/>
              </w:rPr>
            </w:pPr>
            <w:r>
              <w:rPr>
                <w:rFonts w:hint="eastAsia" w:ascii="宋体" w:hAnsi="宋体" w:eastAsia="宋体" w:cs="宋体"/>
                <w:sz w:val="18"/>
                <w:szCs w:val="18"/>
              </w:rPr>
              <w:t>496.25</w:t>
            </w:r>
          </w:p>
        </w:tc>
        <w:tc>
          <w:tcPr>
            <w:tcW w:w="1134" w:type="dxa"/>
            <w:tcBorders>
              <w:top w:val="nil"/>
              <w:left w:val="nil"/>
              <w:bottom w:val="single" w:color="auto" w:sz="4" w:space="0"/>
              <w:right w:val="single" w:color="auto" w:sz="4" w:space="0"/>
            </w:tcBorders>
            <w:vAlign w:val="center"/>
          </w:tcPr>
          <w:p w14:paraId="3D0A2848">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49B826D3">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38B6503C">
            <w:pPr>
              <w:jc w:val="center"/>
              <w:rPr>
                <w:rFonts w:hint="eastAsia" w:ascii="宋体" w:hAnsi="宋体" w:eastAsia="宋体" w:cs="宋体"/>
                <w:sz w:val="18"/>
                <w:szCs w:val="18"/>
              </w:rPr>
            </w:pPr>
            <w:r>
              <w:rPr>
                <w:rFonts w:hint="eastAsia" w:ascii="宋体" w:hAnsi="宋体" w:eastAsia="宋体" w:cs="宋体"/>
                <w:sz w:val="18"/>
                <w:szCs w:val="18"/>
              </w:rPr>
              <w:t>-</w:t>
            </w:r>
          </w:p>
        </w:tc>
      </w:tr>
      <w:tr w14:paraId="6577793B">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CC0B196">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0769C66D">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7FEDEBAE">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59E68C38">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372B290">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523907E4">
            <w:pPr>
              <w:rPr>
                <w:rFonts w:hint="eastAsia" w:ascii="宋体" w:hAnsi="宋体" w:eastAsia="宋体" w:cs="宋体"/>
                <w:sz w:val="18"/>
                <w:szCs w:val="18"/>
                <w:lang w:eastAsia="zh-CN"/>
              </w:rPr>
            </w:pPr>
            <w:r>
              <w:rPr>
                <w:rFonts w:hint="eastAsia" w:ascii="宋体" w:hAnsi="宋体" w:eastAsia="宋体" w:cs="宋体"/>
                <w:sz w:val="18"/>
                <w:szCs w:val="18"/>
                <w:lang w:eastAsia="zh-CN"/>
              </w:rPr>
              <w:t>1.完成在校学生教育379人，提高昌吉市教学水平；2.完成学年内结业人数128人，达成教育教学目标；3.完成学年内新入学生人数119人，解决就学问题。</w:t>
            </w:r>
          </w:p>
        </w:tc>
        <w:tc>
          <w:tcPr>
            <w:tcW w:w="4581" w:type="dxa"/>
            <w:gridSpan w:val="4"/>
            <w:tcBorders>
              <w:top w:val="single" w:color="auto" w:sz="4" w:space="0"/>
              <w:left w:val="nil"/>
              <w:bottom w:val="single" w:color="auto" w:sz="4" w:space="0"/>
              <w:right w:val="single" w:color="auto" w:sz="4" w:space="0"/>
            </w:tcBorders>
          </w:tcPr>
          <w:p w14:paraId="70F09DE7">
            <w:pPr>
              <w:rPr>
                <w:rFonts w:hint="eastAsia" w:ascii="宋体" w:hAnsi="宋体" w:eastAsia="宋体" w:cs="宋体"/>
                <w:sz w:val="18"/>
                <w:szCs w:val="18"/>
                <w:lang w:eastAsia="zh-CN"/>
              </w:rPr>
            </w:pPr>
            <w:r>
              <w:rPr>
                <w:rFonts w:hint="eastAsia" w:ascii="宋体" w:hAnsi="宋体" w:eastAsia="宋体" w:cs="宋体"/>
                <w:sz w:val="18"/>
                <w:szCs w:val="18"/>
                <w:lang w:eastAsia="zh-CN"/>
              </w:rPr>
              <w:t>截止2024年12月31日，我校完成在校人数379人，完成学年内新生入学人数119人，完成毕业生结业人数128人，提高了我校教育教学水平，解决了适龄幼儿入学问题，达成了教育教学目标。</w:t>
            </w:r>
          </w:p>
        </w:tc>
      </w:tr>
      <w:tr w14:paraId="207B1874">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7C9E305C">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5BB22877">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5CC73E90">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62B7F247">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45D67113">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4EBCB33A">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3834A34B">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56694B50">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36382E01">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2D65CC32">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35575A87">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7338C801">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完成在校学生教育数量</w:t>
            </w:r>
          </w:p>
        </w:tc>
        <w:tc>
          <w:tcPr>
            <w:tcW w:w="1242" w:type="dxa"/>
            <w:tcBorders>
              <w:top w:val="nil"/>
              <w:left w:val="nil"/>
              <w:bottom w:val="single" w:color="auto" w:sz="4" w:space="0"/>
              <w:right w:val="single" w:color="auto" w:sz="4" w:space="0"/>
            </w:tcBorders>
            <w:noWrap/>
            <w:vAlign w:val="center"/>
          </w:tcPr>
          <w:p w14:paraId="645DBBD5">
            <w:pPr>
              <w:jc w:val="center"/>
              <w:rPr>
                <w:rFonts w:hint="eastAsia" w:ascii="宋体" w:hAnsi="宋体" w:eastAsia="宋体" w:cs="宋体"/>
                <w:sz w:val="18"/>
                <w:szCs w:val="18"/>
              </w:rPr>
            </w:pPr>
            <w:r>
              <w:rPr>
                <w:rFonts w:hint="eastAsia" w:ascii="宋体" w:hAnsi="宋体" w:eastAsia="宋体" w:cs="宋体"/>
                <w:sz w:val="18"/>
                <w:szCs w:val="18"/>
              </w:rPr>
              <w:t>=379人</w:t>
            </w:r>
          </w:p>
        </w:tc>
        <w:tc>
          <w:tcPr>
            <w:tcW w:w="1417" w:type="dxa"/>
            <w:tcBorders>
              <w:top w:val="nil"/>
              <w:left w:val="nil"/>
              <w:bottom w:val="single" w:color="auto" w:sz="4" w:space="0"/>
              <w:right w:val="single" w:color="auto" w:sz="4" w:space="0"/>
            </w:tcBorders>
            <w:noWrap/>
            <w:vAlign w:val="center"/>
          </w:tcPr>
          <w:p w14:paraId="7AFBC2C0">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276B40EE">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58A6A3A1">
            <w:pPr>
              <w:jc w:val="center"/>
              <w:rPr>
                <w:rFonts w:hint="eastAsia" w:ascii="宋体" w:hAnsi="宋体" w:eastAsia="宋体" w:cs="宋体"/>
                <w:sz w:val="18"/>
                <w:szCs w:val="18"/>
              </w:rPr>
            </w:pPr>
            <w:r>
              <w:rPr>
                <w:rFonts w:hint="eastAsia" w:ascii="宋体" w:hAnsi="宋体" w:eastAsia="宋体" w:cs="宋体"/>
                <w:sz w:val="18"/>
                <w:szCs w:val="18"/>
              </w:rPr>
              <w:t>=379人</w:t>
            </w:r>
          </w:p>
        </w:tc>
        <w:tc>
          <w:tcPr>
            <w:tcW w:w="720" w:type="dxa"/>
            <w:tcBorders>
              <w:top w:val="nil"/>
              <w:left w:val="nil"/>
              <w:bottom w:val="single" w:color="auto" w:sz="4" w:space="0"/>
              <w:right w:val="single" w:color="auto" w:sz="4" w:space="0"/>
            </w:tcBorders>
            <w:noWrap/>
            <w:vAlign w:val="center"/>
          </w:tcPr>
          <w:p w14:paraId="0BE04809">
            <w:pPr>
              <w:jc w:val="center"/>
              <w:rPr>
                <w:rFonts w:hint="eastAsia" w:ascii="宋体" w:hAnsi="宋体" w:eastAsia="宋体" w:cs="宋体"/>
                <w:sz w:val="18"/>
                <w:szCs w:val="18"/>
              </w:rPr>
            </w:pPr>
            <w:r>
              <w:rPr>
                <w:rFonts w:hint="eastAsia" w:ascii="宋体" w:hAnsi="宋体" w:eastAsia="宋体" w:cs="宋体"/>
                <w:sz w:val="18"/>
                <w:szCs w:val="18"/>
              </w:rPr>
              <w:t>23</w:t>
            </w:r>
          </w:p>
        </w:tc>
      </w:tr>
      <w:tr w14:paraId="46165AE4">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449A0B3">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37A6BFAE">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13144916">
            <w:pPr>
              <w:jc w:val="center"/>
              <w:rPr>
                <w:rFonts w:hint="eastAsia" w:ascii="宋体" w:hAnsi="宋体" w:eastAsia="宋体" w:cs="宋体"/>
                <w:sz w:val="18"/>
                <w:szCs w:val="18"/>
              </w:rPr>
            </w:pPr>
            <w:r>
              <w:rPr>
                <w:rFonts w:hint="eastAsia" w:ascii="宋体" w:hAnsi="宋体" w:eastAsia="宋体" w:cs="宋体"/>
                <w:sz w:val="18"/>
                <w:szCs w:val="18"/>
              </w:rPr>
              <w:t>完成学年内新生人数</w:t>
            </w:r>
          </w:p>
        </w:tc>
        <w:tc>
          <w:tcPr>
            <w:tcW w:w="1242" w:type="dxa"/>
            <w:tcBorders>
              <w:top w:val="nil"/>
              <w:left w:val="nil"/>
              <w:bottom w:val="single" w:color="auto" w:sz="4" w:space="0"/>
              <w:right w:val="single" w:color="auto" w:sz="4" w:space="0"/>
            </w:tcBorders>
            <w:noWrap/>
            <w:vAlign w:val="center"/>
          </w:tcPr>
          <w:p w14:paraId="0C44806D">
            <w:pPr>
              <w:jc w:val="center"/>
              <w:rPr>
                <w:rFonts w:hint="eastAsia" w:ascii="宋体" w:hAnsi="宋体" w:eastAsia="宋体" w:cs="宋体"/>
                <w:sz w:val="18"/>
                <w:szCs w:val="18"/>
              </w:rPr>
            </w:pPr>
            <w:r>
              <w:rPr>
                <w:rFonts w:hint="eastAsia" w:ascii="宋体" w:hAnsi="宋体" w:eastAsia="宋体" w:cs="宋体"/>
                <w:sz w:val="18"/>
                <w:szCs w:val="18"/>
              </w:rPr>
              <w:t>=119人</w:t>
            </w:r>
          </w:p>
        </w:tc>
        <w:tc>
          <w:tcPr>
            <w:tcW w:w="1417" w:type="dxa"/>
            <w:tcBorders>
              <w:top w:val="nil"/>
              <w:left w:val="nil"/>
              <w:bottom w:val="single" w:color="auto" w:sz="4" w:space="0"/>
              <w:right w:val="single" w:color="auto" w:sz="4" w:space="0"/>
            </w:tcBorders>
            <w:noWrap/>
            <w:vAlign w:val="center"/>
          </w:tcPr>
          <w:p w14:paraId="3AFF8840">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781AD0FE">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37D0A6FF">
            <w:pPr>
              <w:jc w:val="center"/>
              <w:rPr>
                <w:rFonts w:hint="eastAsia" w:ascii="宋体" w:hAnsi="宋体" w:eastAsia="宋体" w:cs="宋体"/>
                <w:sz w:val="18"/>
                <w:szCs w:val="18"/>
              </w:rPr>
            </w:pPr>
            <w:r>
              <w:rPr>
                <w:rFonts w:hint="eastAsia" w:ascii="宋体" w:hAnsi="宋体" w:eastAsia="宋体" w:cs="宋体"/>
                <w:sz w:val="18"/>
                <w:szCs w:val="18"/>
              </w:rPr>
              <w:t>=119人</w:t>
            </w:r>
          </w:p>
        </w:tc>
        <w:tc>
          <w:tcPr>
            <w:tcW w:w="720" w:type="dxa"/>
            <w:tcBorders>
              <w:top w:val="nil"/>
              <w:left w:val="nil"/>
              <w:bottom w:val="single" w:color="auto" w:sz="4" w:space="0"/>
              <w:right w:val="single" w:color="auto" w:sz="4" w:space="0"/>
            </w:tcBorders>
            <w:noWrap/>
            <w:vAlign w:val="center"/>
          </w:tcPr>
          <w:p w14:paraId="5AA34EE4">
            <w:pPr>
              <w:jc w:val="center"/>
              <w:rPr>
                <w:rFonts w:hint="eastAsia" w:ascii="宋体" w:hAnsi="宋体" w:eastAsia="宋体" w:cs="宋体"/>
                <w:sz w:val="18"/>
                <w:szCs w:val="18"/>
              </w:rPr>
            </w:pPr>
            <w:r>
              <w:rPr>
                <w:rFonts w:hint="eastAsia" w:ascii="宋体" w:hAnsi="宋体" w:eastAsia="宋体" w:cs="宋体"/>
                <w:sz w:val="18"/>
                <w:szCs w:val="18"/>
              </w:rPr>
              <w:t>23</w:t>
            </w:r>
          </w:p>
        </w:tc>
      </w:tr>
      <w:tr w14:paraId="1E4F1649">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2A9C367">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25BA39CF">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448898C">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完成学年内结业学生人数</w:t>
            </w:r>
          </w:p>
        </w:tc>
        <w:tc>
          <w:tcPr>
            <w:tcW w:w="1242" w:type="dxa"/>
            <w:tcBorders>
              <w:top w:val="nil"/>
              <w:left w:val="nil"/>
              <w:bottom w:val="single" w:color="auto" w:sz="4" w:space="0"/>
              <w:right w:val="single" w:color="auto" w:sz="4" w:space="0"/>
            </w:tcBorders>
            <w:noWrap/>
            <w:vAlign w:val="center"/>
          </w:tcPr>
          <w:p w14:paraId="1DD1A76A">
            <w:pPr>
              <w:jc w:val="center"/>
              <w:rPr>
                <w:rFonts w:hint="eastAsia" w:ascii="宋体" w:hAnsi="宋体" w:eastAsia="宋体" w:cs="宋体"/>
                <w:sz w:val="18"/>
                <w:szCs w:val="18"/>
              </w:rPr>
            </w:pPr>
            <w:r>
              <w:rPr>
                <w:rFonts w:hint="eastAsia" w:ascii="宋体" w:hAnsi="宋体" w:eastAsia="宋体" w:cs="宋体"/>
                <w:sz w:val="18"/>
                <w:szCs w:val="18"/>
              </w:rPr>
              <w:t>=128人</w:t>
            </w:r>
          </w:p>
        </w:tc>
        <w:tc>
          <w:tcPr>
            <w:tcW w:w="1417" w:type="dxa"/>
            <w:tcBorders>
              <w:top w:val="nil"/>
              <w:left w:val="nil"/>
              <w:bottom w:val="single" w:color="auto" w:sz="4" w:space="0"/>
              <w:right w:val="single" w:color="auto" w:sz="4" w:space="0"/>
            </w:tcBorders>
            <w:noWrap/>
            <w:vAlign w:val="center"/>
          </w:tcPr>
          <w:p w14:paraId="0F104230">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7DC7D325">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75FC3CFB">
            <w:pPr>
              <w:jc w:val="center"/>
              <w:rPr>
                <w:rFonts w:hint="eastAsia" w:ascii="宋体" w:hAnsi="宋体" w:eastAsia="宋体" w:cs="宋体"/>
                <w:sz w:val="18"/>
                <w:szCs w:val="18"/>
              </w:rPr>
            </w:pPr>
            <w:r>
              <w:rPr>
                <w:rFonts w:hint="eastAsia" w:ascii="宋体" w:hAnsi="宋体" w:eastAsia="宋体" w:cs="宋体"/>
                <w:sz w:val="18"/>
                <w:szCs w:val="18"/>
              </w:rPr>
              <w:t>=128人</w:t>
            </w:r>
          </w:p>
        </w:tc>
        <w:tc>
          <w:tcPr>
            <w:tcW w:w="720" w:type="dxa"/>
            <w:tcBorders>
              <w:top w:val="nil"/>
              <w:left w:val="nil"/>
              <w:bottom w:val="single" w:color="auto" w:sz="4" w:space="0"/>
              <w:right w:val="single" w:color="auto" w:sz="4" w:space="0"/>
            </w:tcBorders>
            <w:noWrap/>
            <w:vAlign w:val="center"/>
          </w:tcPr>
          <w:p w14:paraId="68BC63D7">
            <w:pPr>
              <w:jc w:val="center"/>
              <w:rPr>
                <w:rFonts w:hint="eastAsia" w:ascii="宋体" w:hAnsi="宋体" w:eastAsia="宋体" w:cs="宋体"/>
                <w:sz w:val="18"/>
                <w:szCs w:val="18"/>
              </w:rPr>
            </w:pPr>
            <w:r>
              <w:rPr>
                <w:rFonts w:hint="eastAsia" w:ascii="宋体" w:hAnsi="宋体" w:eastAsia="宋体" w:cs="宋体"/>
                <w:sz w:val="18"/>
                <w:szCs w:val="18"/>
              </w:rPr>
              <w:t>22</w:t>
            </w:r>
          </w:p>
        </w:tc>
      </w:tr>
      <w:tr w14:paraId="50C54F34">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5B16A691">
            <w:pPr>
              <w:jc w:val="center"/>
              <w:rPr>
                <w:rFonts w:hint="eastAsia"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0F00DD6C">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2F3B3C6C">
            <w:pPr>
              <w:jc w:val="center"/>
              <w:rPr>
                <w:rFonts w:hint="eastAsia" w:ascii="宋体" w:hAnsi="宋体" w:eastAsia="宋体" w:cs="宋体"/>
                <w:sz w:val="18"/>
                <w:szCs w:val="18"/>
              </w:rPr>
            </w:pPr>
            <w:r>
              <w:rPr>
                <w:rFonts w:hint="eastAsia" w:ascii="宋体" w:hAnsi="宋体" w:eastAsia="宋体" w:cs="宋体"/>
                <w:sz w:val="18"/>
                <w:szCs w:val="18"/>
              </w:rPr>
              <w:t>结业完成率</w:t>
            </w:r>
          </w:p>
        </w:tc>
        <w:tc>
          <w:tcPr>
            <w:tcW w:w="1242" w:type="dxa"/>
            <w:tcBorders>
              <w:top w:val="nil"/>
              <w:left w:val="nil"/>
              <w:bottom w:val="single" w:color="auto" w:sz="4" w:space="0"/>
              <w:right w:val="single" w:color="auto" w:sz="4" w:space="0"/>
            </w:tcBorders>
            <w:noWrap/>
            <w:vAlign w:val="center"/>
          </w:tcPr>
          <w:p w14:paraId="0E89B9F4">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54AF7A64">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6AF7235F">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2614D392">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08055CC9">
            <w:pPr>
              <w:jc w:val="center"/>
              <w:rPr>
                <w:rFonts w:hint="eastAsia" w:ascii="宋体" w:hAnsi="宋体" w:eastAsia="宋体" w:cs="宋体"/>
                <w:sz w:val="18"/>
                <w:szCs w:val="18"/>
              </w:rPr>
            </w:pPr>
            <w:r>
              <w:rPr>
                <w:rFonts w:hint="eastAsia" w:ascii="宋体" w:hAnsi="宋体" w:eastAsia="宋体" w:cs="宋体"/>
                <w:sz w:val="18"/>
                <w:szCs w:val="18"/>
              </w:rPr>
              <w:t>22</w:t>
            </w:r>
          </w:p>
        </w:tc>
      </w:tr>
    </w:tbl>
    <w:p w14:paraId="3C7C62F8">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0AED9F36">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8425CB7">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901894C">
            <w:pPr>
              <w:jc w:val="center"/>
              <w:rPr>
                <w:rFonts w:hint="eastAsia" w:ascii="宋体" w:hAnsi="宋体" w:eastAsia="宋体" w:cs="宋体"/>
                <w:b/>
                <w:bCs/>
                <w:color w:val="000000"/>
                <w:sz w:val="18"/>
                <w:szCs w:val="18"/>
              </w:rPr>
            </w:pPr>
            <w:bookmarkStart w:id="0" w:name="_Hlk201837198"/>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AFD08A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2023-2024年自治州中小学校长名师名班主任工作室建设经费</w:t>
            </w:r>
          </w:p>
        </w:tc>
      </w:tr>
      <w:tr w14:paraId="41FF025F">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4EBB5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18F20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7AE567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DB55E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昌吉市第六幼儿园</w:t>
            </w:r>
          </w:p>
        </w:tc>
      </w:tr>
      <w:tr w14:paraId="22392083">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6F0ACE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C9A41DD">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4DD6A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D4E07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58C51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31032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F5D143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0DE10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E7102E7">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4A1069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08700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62E4E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w:t>
            </w:r>
          </w:p>
        </w:tc>
        <w:tc>
          <w:tcPr>
            <w:tcW w:w="1968" w:type="dxa"/>
            <w:gridSpan w:val="3"/>
            <w:tcBorders>
              <w:top w:val="single" w:color="auto" w:sz="4" w:space="0"/>
              <w:left w:val="nil"/>
              <w:bottom w:val="single" w:color="auto" w:sz="4" w:space="0"/>
              <w:right w:val="single" w:color="auto" w:sz="4" w:space="0"/>
            </w:tcBorders>
            <w:vAlign w:val="center"/>
          </w:tcPr>
          <w:p w14:paraId="798B9C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w:t>
            </w:r>
          </w:p>
        </w:tc>
        <w:tc>
          <w:tcPr>
            <w:tcW w:w="1428" w:type="dxa"/>
            <w:gridSpan w:val="2"/>
            <w:tcBorders>
              <w:top w:val="single" w:color="auto" w:sz="4" w:space="0"/>
              <w:left w:val="nil"/>
              <w:bottom w:val="single" w:color="auto" w:sz="4" w:space="0"/>
              <w:right w:val="single" w:color="auto" w:sz="4" w:space="0"/>
            </w:tcBorders>
            <w:vAlign w:val="center"/>
          </w:tcPr>
          <w:p w14:paraId="7BFB14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w:t>
            </w:r>
          </w:p>
        </w:tc>
        <w:tc>
          <w:tcPr>
            <w:tcW w:w="1372" w:type="dxa"/>
            <w:gridSpan w:val="2"/>
            <w:tcBorders>
              <w:top w:val="nil"/>
              <w:left w:val="nil"/>
              <w:bottom w:val="single" w:color="auto" w:sz="4" w:space="0"/>
              <w:right w:val="single" w:color="auto" w:sz="4" w:space="0"/>
            </w:tcBorders>
            <w:vAlign w:val="center"/>
          </w:tcPr>
          <w:p w14:paraId="6A5E79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5784A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2E1E0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19DE84B">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08924CB">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85567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F7149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w:t>
            </w:r>
          </w:p>
        </w:tc>
        <w:tc>
          <w:tcPr>
            <w:tcW w:w="1968" w:type="dxa"/>
            <w:gridSpan w:val="3"/>
            <w:tcBorders>
              <w:top w:val="single" w:color="auto" w:sz="4" w:space="0"/>
              <w:left w:val="nil"/>
              <w:bottom w:val="single" w:color="auto" w:sz="4" w:space="0"/>
              <w:right w:val="single" w:color="auto" w:sz="4" w:space="0"/>
            </w:tcBorders>
            <w:vAlign w:val="center"/>
          </w:tcPr>
          <w:p w14:paraId="181171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w:t>
            </w:r>
          </w:p>
        </w:tc>
        <w:tc>
          <w:tcPr>
            <w:tcW w:w="1428" w:type="dxa"/>
            <w:gridSpan w:val="2"/>
            <w:tcBorders>
              <w:top w:val="single" w:color="auto" w:sz="4" w:space="0"/>
              <w:left w:val="nil"/>
              <w:bottom w:val="single" w:color="auto" w:sz="4" w:space="0"/>
              <w:right w:val="single" w:color="auto" w:sz="4" w:space="0"/>
            </w:tcBorders>
            <w:vAlign w:val="center"/>
          </w:tcPr>
          <w:p w14:paraId="702FDB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w:t>
            </w:r>
          </w:p>
        </w:tc>
        <w:tc>
          <w:tcPr>
            <w:tcW w:w="1372" w:type="dxa"/>
            <w:gridSpan w:val="2"/>
            <w:tcBorders>
              <w:top w:val="nil"/>
              <w:left w:val="nil"/>
              <w:bottom w:val="single" w:color="auto" w:sz="4" w:space="0"/>
              <w:right w:val="single" w:color="auto" w:sz="4" w:space="0"/>
            </w:tcBorders>
            <w:vAlign w:val="center"/>
          </w:tcPr>
          <w:p w14:paraId="76F696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D0B80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D6047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94A9707">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1E5395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1D4E1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EE8FA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AD560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6F0C7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E296B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60EE3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43C53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E951A8D">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2D90AC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23E41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97592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89C9969">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9286BDC">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EBED28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2024年我园计划投入2万元，建设名班主任工作室1个，工作室的建设有助于促进班主任专业发展，加强师生沟通，搭建家校合作桥梁，推动我校教育创新实践，培养出更多全面发展的学生。</w:t>
            </w:r>
          </w:p>
        </w:tc>
        <w:tc>
          <w:tcPr>
            <w:tcW w:w="5716" w:type="dxa"/>
            <w:gridSpan w:val="8"/>
            <w:tcBorders>
              <w:top w:val="single" w:color="auto" w:sz="4" w:space="0"/>
              <w:left w:val="nil"/>
              <w:bottom w:val="single" w:color="auto" w:sz="4" w:space="0"/>
              <w:right w:val="single" w:color="auto" w:sz="4" w:space="0"/>
            </w:tcBorders>
            <w:vAlign w:val="center"/>
          </w:tcPr>
          <w:p w14:paraId="19A0605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该项目实际完成2万元，完成名班主任工作室建设数量1个、工作室人数1人；通过该项目的实施，有效提升了班主任专业发展，加强师生沟通，搭建家校合作桥梁，促进了我校教育创新实践，培养出更多全面发展的学生。</w:t>
            </w:r>
          </w:p>
        </w:tc>
      </w:tr>
      <w:tr w14:paraId="09D71612">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6AB626A3">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8F51E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EA85B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BBAC6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767FF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BAFA7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CC271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A984A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F705C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49E9E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425F5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F5511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D8842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3F64672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5FCF7DB">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1B767986">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B20BA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18CBE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F7A39E0">
            <w:pPr>
              <w:rPr>
                <w:color w:val="000000"/>
                <w:sz w:val="18"/>
                <w:szCs w:val="18"/>
                <w:lang w:eastAsia="zh-CN"/>
              </w:rPr>
            </w:pPr>
            <w:r>
              <w:rPr>
                <w:rFonts w:hint="eastAsia"/>
                <w:color w:val="000000"/>
                <w:sz w:val="18"/>
                <w:szCs w:val="18"/>
                <w:lang w:eastAsia="zh-CN"/>
              </w:rPr>
              <w:t>名班主任工作室建设数量</w:t>
            </w:r>
          </w:p>
        </w:tc>
        <w:tc>
          <w:tcPr>
            <w:tcW w:w="627" w:type="dxa"/>
            <w:tcBorders>
              <w:top w:val="nil"/>
              <w:left w:val="nil"/>
              <w:bottom w:val="single" w:color="auto" w:sz="4" w:space="0"/>
              <w:right w:val="single" w:color="auto" w:sz="4" w:space="0"/>
            </w:tcBorders>
            <w:vAlign w:val="center"/>
          </w:tcPr>
          <w:p w14:paraId="7F0B04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64C67E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2DFD79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70195A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7B314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4C3217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8B69C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09DEA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544DB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D98B24C">
            <w:pPr>
              <w:jc w:val="center"/>
              <w:rPr>
                <w:color w:val="000000"/>
                <w:sz w:val="18"/>
                <w:szCs w:val="18"/>
              </w:rPr>
            </w:pPr>
          </w:p>
        </w:tc>
      </w:tr>
      <w:tr w14:paraId="189D61A4">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4BD7C21">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44FC34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30415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EAB3049">
            <w:pPr>
              <w:rPr>
                <w:rFonts w:hint="eastAsia" w:ascii="宋体" w:hAnsi="宋体" w:eastAsia="宋体" w:cs="宋体"/>
                <w:color w:val="000000"/>
                <w:sz w:val="18"/>
                <w:szCs w:val="18"/>
              </w:rPr>
            </w:pPr>
            <w:r>
              <w:rPr>
                <w:rFonts w:hint="eastAsia" w:ascii="宋体" w:hAnsi="宋体" w:eastAsia="宋体" w:cs="宋体"/>
                <w:color w:val="000000"/>
                <w:sz w:val="18"/>
                <w:szCs w:val="18"/>
              </w:rPr>
              <w:t>工作室人数</w:t>
            </w:r>
          </w:p>
        </w:tc>
        <w:tc>
          <w:tcPr>
            <w:tcW w:w="627" w:type="dxa"/>
            <w:tcBorders>
              <w:top w:val="nil"/>
              <w:left w:val="nil"/>
              <w:bottom w:val="single" w:color="auto" w:sz="4" w:space="0"/>
              <w:right w:val="single" w:color="auto" w:sz="4" w:space="0"/>
            </w:tcBorders>
            <w:vAlign w:val="center"/>
          </w:tcPr>
          <w:p w14:paraId="48683B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61B34B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=1人</w:t>
            </w:r>
          </w:p>
        </w:tc>
        <w:tc>
          <w:tcPr>
            <w:tcW w:w="728" w:type="dxa"/>
            <w:tcBorders>
              <w:top w:val="nil"/>
              <w:left w:val="nil"/>
              <w:bottom w:val="single" w:color="auto" w:sz="4" w:space="0"/>
              <w:right w:val="single" w:color="auto" w:sz="4" w:space="0"/>
            </w:tcBorders>
            <w:vAlign w:val="center"/>
          </w:tcPr>
          <w:p w14:paraId="366AD7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=1人</w:t>
            </w:r>
          </w:p>
        </w:tc>
        <w:tc>
          <w:tcPr>
            <w:tcW w:w="637" w:type="dxa"/>
            <w:tcBorders>
              <w:top w:val="nil"/>
              <w:left w:val="nil"/>
              <w:bottom w:val="single" w:color="auto" w:sz="4" w:space="0"/>
              <w:right w:val="single" w:color="auto" w:sz="4" w:space="0"/>
            </w:tcBorders>
            <w:vAlign w:val="center"/>
          </w:tcPr>
          <w:p w14:paraId="3BE9B1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F5038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13A26C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91BBC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82BC9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2CEF8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90F3CD4">
            <w:pPr>
              <w:jc w:val="center"/>
              <w:rPr>
                <w:rFonts w:hint="eastAsia" w:ascii="宋体" w:hAnsi="宋体" w:eastAsia="宋体" w:cs="宋体"/>
                <w:color w:val="000000"/>
                <w:sz w:val="18"/>
                <w:szCs w:val="18"/>
              </w:rPr>
            </w:pPr>
          </w:p>
        </w:tc>
      </w:tr>
      <w:tr w14:paraId="157E89BB">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8B79523">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5E1414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D91E0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06F2E1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工作室领衔人资格符合率</w:t>
            </w:r>
          </w:p>
        </w:tc>
        <w:tc>
          <w:tcPr>
            <w:tcW w:w="627" w:type="dxa"/>
            <w:tcBorders>
              <w:top w:val="nil"/>
              <w:left w:val="nil"/>
              <w:bottom w:val="single" w:color="auto" w:sz="4" w:space="0"/>
              <w:right w:val="single" w:color="auto" w:sz="4" w:space="0"/>
            </w:tcBorders>
            <w:vAlign w:val="center"/>
          </w:tcPr>
          <w:p w14:paraId="344890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5ED314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2CB70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1B457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E7B4B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0AFE3B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64D04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3A43F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F231A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70B61CDF">
            <w:pPr>
              <w:jc w:val="center"/>
              <w:rPr>
                <w:rFonts w:hint="eastAsia" w:ascii="宋体" w:hAnsi="宋体" w:eastAsia="宋体" w:cs="宋体"/>
                <w:color w:val="000000"/>
                <w:sz w:val="18"/>
                <w:szCs w:val="18"/>
              </w:rPr>
            </w:pPr>
          </w:p>
        </w:tc>
      </w:tr>
      <w:tr w14:paraId="30F1A211">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2768202">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7664D9D">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ABC2D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019C563">
            <w:pPr>
              <w:rPr>
                <w:rFonts w:hint="eastAsia" w:ascii="宋体" w:hAnsi="宋体" w:eastAsia="宋体" w:cs="宋体"/>
                <w:color w:val="000000"/>
                <w:sz w:val="18"/>
                <w:szCs w:val="18"/>
              </w:rPr>
            </w:pPr>
            <w:r>
              <w:rPr>
                <w:rFonts w:hint="eastAsia" w:ascii="宋体" w:hAnsi="宋体" w:eastAsia="宋体" w:cs="宋体"/>
                <w:color w:val="000000"/>
                <w:sz w:val="18"/>
                <w:szCs w:val="18"/>
              </w:rPr>
              <w:t>经费使用合规率</w:t>
            </w:r>
          </w:p>
        </w:tc>
        <w:tc>
          <w:tcPr>
            <w:tcW w:w="627" w:type="dxa"/>
            <w:tcBorders>
              <w:top w:val="nil"/>
              <w:left w:val="nil"/>
              <w:bottom w:val="single" w:color="auto" w:sz="4" w:space="0"/>
              <w:right w:val="single" w:color="auto" w:sz="4" w:space="0"/>
            </w:tcBorders>
            <w:vAlign w:val="center"/>
          </w:tcPr>
          <w:p w14:paraId="17B623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416EA3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C8BB7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71B5F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024F2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0481BC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0337F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2A392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841DE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41F00B63">
            <w:pPr>
              <w:jc w:val="center"/>
              <w:rPr>
                <w:rFonts w:hint="eastAsia" w:ascii="宋体" w:hAnsi="宋体" w:eastAsia="宋体" w:cs="宋体"/>
                <w:color w:val="000000"/>
                <w:sz w:val="18"/>
                <w:szCs w:val="18"/>
              </w:rPr>
            </w:pPr>
          </w:p>
        </w:tc>
      </w:tr>
      <w:tr w14:paraId="36E23780">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0E33C7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894913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69353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CE9E225">
            <w:pPr>
              <w:rPr>
                <w:rFonts w:hint="eastAsia" w:ascii="宋体" w:hAnsi="宋体" w:eastAsia="宋体" w:cs="宋体"/>
                <w:color w:val="000000"/>
                <w:sz w:val="18"/>
                <w:szCs w:val="18"/>
              </w:rPr>
            </w:pPr>
            <w:r>
              <w:rPr>
                <w:rFonts w:hint="eastAsia" w:ascii="宋体" w:hAnsi="宋体" w:eastAsia="宋体" w:cs="宋体"/>
                <w:color w:val="000000"/>
                <w:sz w:val="18"/>
                <w:szCs w:val="18"/>
              </w:rPr>
              <w:t>经费拨付及时率</w:t>
            </w:r>
          </w:p>
        </w:tc>
        <w:tc>
          <w:tcPr>
            <w:tcW w:w="627" w:type="dxa"/>
            <w:tcBorders>
              <w:top w:val="nil"/>
              <w:left w:val="nil"/>
              <w:bottom w:val="single" w:color="auto" w:sz="4" w:space="0"/>
              <w:right w:val="single" w:color="auto" w:sz="4" w:space="0"/>
            </w:tcBorders>
            <w:vAlign w:val="center"/>
          </w:tcPr>
          <w:p w14:paraId="3395A3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0EB2E0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F4C41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B74EA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F4F36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5CEB4C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9D56B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B79C2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91CC4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4F98E050">
            <w:pPr>
              <w:jc w:val="center"/>
              <w:rPr>
                <w:rFonts w:hint="eastAsia" w:ascii="宋体" w:hAnsi="宋体" w:eastAsia="宋体" w:cs="宋体"/>
                <w:color w:val="000000"/>
                <w:sz w:val="18"/>
                <w:szCs w:val="18"/>
              </w:rPr>
            </w:pPr>
          </w:p>
        </w:tc>
      </w:tr>
      <w:tr w14:paraId="2EF5B211">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F780C8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B8682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24447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080CD3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每名班主任工作室建设经费标准</w:t>
            </w:r>
          </w:p>
        </w:tc>
        <w:tc>
          <w:tcPr>
            <w:tcW w:w="627" w:type="dxa"/>
            <w:tcBorders>
              <w:top w:val="nil"/>
              <w:left w:val="nil"/>
              <w:bottom w:val="single" w:color="auto" w:sz="4" w:space="0"/>
              <w:right w:val="single" w:color="auto" w:sz="4" w:space="0"/>
            </w:tcBorders>
            <w:vAlign w:val="center"/>
          </w:tcPr>
          <w:p w14:paraId="084E84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72F16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=1万元/年</w:t>
            </w:r>
          </w:p>
        </w:tc>
        <w:tc>
          <w:tcPr>
            <w:tcW w:w="728" w:type="dxa"/>
            <w:tcBorders>
              <w:top w:val="nil"/>
              <w:left w:val="nil"/>
              <w:bottom w:val="single" w:color="auto" w:sz="4" w:space="0"/>
              <w:right w:val="single" w:color="auto" w:sz="4" w:space="0"/>
            </w:tcBorders>
            <w:vAlign w:val="center"/>
          </w:tcPr>
          <w:p w14:paraId="746D5E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=1万元/年</w:t>
            </w:r>
          </w:p>
        </w:tc>
        <w:tc>
          <w:tcPr>
            <w:tcW w:w="637" w:type="dxa"/>
            <w:tcBorders>
              <w:top w:val="nil"/>
              <w:left w:val="nil"/>
              <w:bottom w:val="single" w:color="auto" w:sz="4" w:space="0"/>
              <w:right w:val="single" w:color="auto" w:sz="4" w:space="0"/>
            </w:tcBorders>
            <w:vAlign w:val="center"/>
          </w:tcPr>
          <w:p w14:paraId="22D862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237AF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D4EBC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0A26C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21C76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8ED89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说明材料,原始凭证</w:t>
            </w:r>
          </w:p>
        </w:tc>
        <w:tc>
          <w:tcPr>
            <w:tcW w:w="1552" w:type="dxa"/>
            <w:gridSpan w:val="2"/>
            <w:tcBorders>
              <w:top w:val="nil"/>
              <w:left w:val="nil"/>
              <w:bottom w:val="single" w:color="auto" w:sz="4" w:space="0"/>
              <w:right w:val="single" w:color="auto" w:sz="4" w:space="0"/>
            </w:tcBorders>
            <w:vAlign w:val="center"/>
          </w:tcPr>
          <w:p w14:paraId="7BBD79C7">
            <w:pPr>
              <w:jc w:val="center"/>
              <w:rPr>
                <w:rFonts w:hint="eastAsia" w:ascii="宋体" w:hAnsi="宋体" w:eastAsia="宋体" w:cs="宋体"/>
                <w:color w:val="000000"/>
                <w:sz w:val="18"/>
                <w:szCs w:val="18"/>
              </w:rPr>
            </w:pPr>
          </w:p>
        </w:tc>
      </w:tr>
      <w:tr w14:paraId="0185F4AE">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22BD09D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93085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58728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D3BFB0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提高我校教育教学水平</w:t>
            </w:r>
          </w:p>
        </w:tc>
        <w:tc>
          <w:tcPr>
            <w:tcW w:w="627" w:type="dxa"/>
            <w:tcBorders>
              <w:top w:val="nil"/>
              <w:left w:val="nil"/>
              <w:bottom w:val="single" w:color="auto" w:sz="4" w:space="0"/>
              <w:right w:val="single" w:color="auto" w:sz="4" w:space="0"/>
            </w:tcBorders>
            <w:vAlign w:val="center"/>
          </w:tcPr>
          <w:p w14:paraId="511B01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141D4A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42BB4B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65E56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C179B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00B607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25025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7CDA3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71620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56F7F52F">
            <w:pPr>
              <w:jc w:val="center"/>
              <w:rPr>
                <w:rFonts w:hint="eastAsia" w:ascii="宋体" w:hAnsi="宋体" w:eastAsia="宋体" w:cs="宋体"/>
                <w:color w:val="000000"/>
                <w:sz w:val="18"/>
                <w:szCs w:val="18"/>
              </w:rPr>
            </w:pPr>
          </w:p>
        </w:tc>
      </w:tr>
      <w:tr w14:paraId="7877BB04">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B085A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A7950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B014C9D">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BE5209D">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021115C">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FA3C6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9097C91">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BFC967A">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4258AF4">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F509B2B">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25D8302">
            <w:pPr>
              <w:rPr>
                <w:rFonts w:hint="eastAsia" w:ascii="宋体" w:hAnsi="宋体" w:eastAsia="宋体" w:cs="宋体"/>
                <w:color w:val="000000"/>
                <w:sz w:val="18"/>
                <w:szCs w:val="18"/>
              </w:rPr>
            </w:pPr>
          </w:p>
        </w:tc>
      </w:tr>
      <w:bookmarkEnd w:id="0"/>
    </w:tbl>
    <w:p w14:paraId="244E79BF">
      <w:pPr>
        <w:spacing w:after="0" w:line="240" w:lineRule="auto"/>
        <w:ind w:firstLine="640" w:firstLineChars="200"/>
        <w:jc w:val="both"/>
        <w:rPr>
          <w:rFonts w:ascii="仿宋_GB2312" w:eastAsia="仿宋_GB2312"/>
          <w:sz w:val="32"/>
          <w:szCs w:val="32"/>
          <w:lang w:eastAsia="zh-CN"/>
        </w:rPr>
      </w:pPr>
    </w:p>
    <w:p w14:paraId="71A1607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56FD908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589ECEAE">
      <w:pPr>
        <w:spacing w:after="0" w:line="240" w:lineRule="auto"/>
        <w:ind w:firstLine="640" w:firstLineChars="200"/>
        <w:rPr>
          <w:rFonts w:ascii="仿宋_GB2312" w:eastAsia="仿宋_GB2312"/>
          <w:sz w:val="32"/>
          <w:szCs w:val="32"/>
          <w:lang w:eastAsia="zh-CN"/>
        </w:rPr>
      </w:pPr>
    </w:p>
    <w:p w14:paraId="5F6BCD2A">
      <w:pPr>
        <w:rPr>
          <w:lang w:eastAsia="zh-CN"/>
        </w:rPr>
      </w:pPr>
      <w:r>
        <w:rPr>
          <w:sz w:val="0"/>
          <w:szCs w:val="0"/>
          <w:lang w:eastAsia="zh-CN"/>
        </w:rPr>
        <w:br w:type="page"/>
      </w:r>
    </w:p>
    <w:p w14:paraId="45AAA9EF">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3F46225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09F7E3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1BA5A2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5205C6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58604D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175864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34AD0C2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DB86DD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5AAEF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CF810A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3A4A4D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E54F72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C9AFA6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084E35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5132520">
      <w:pPr>
        <w:rPr>
          <w:lang w:eastAsia="zh-CN"/>
        </w:rPr>
      </w:pPr>
      <w:r>
        <w:rPr>
          <w:sz w:val="0"/>
          <w:szCs w:val="0"/>
          <w:lang w:eastAsia="zh-CN"/>
        </w:rPr>
        <w:br w:type="page"/>
      </w:r>
    </w:p>
    <w:p w14:paraId="0A841B43">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09169CA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383844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777B0E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35CA5E7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F96DF3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9FCF3C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81FF94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DA9C05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444133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191"/>
    <w:rsid w:val="0037304B"/>
    <w:rsid w:val="00614F57"/>
    <w:rsid w:val="006F7217"/>
    <w:rsid w:val="00720191"/>
    <w:rsid w:val="00934E09"/>
    <w:rsid w:val="00952E9D"/>
    <w:rsid w:val="009548C1"/>
    <w:rsid w:val="00A85697"/>
    <w:rsid w:val="00AF4324"/>
    <w:rsid w:val="00BB4592"/>
    <w:rsid w:val="00BC7DA2"/>
    <w:rsid w:val="34B73BBF"/>
    <w:rsid w:val="7E776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14:textFill>
        <w14:solidFill>
          <w14:schemeClr w14:val="accent1"/>
        </w14:solidFill>
      </w14:textFill>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E75B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20">
    <w:name w:val="标题 3 字符"/>
    <w:basedOn w:val="14"/>
    <w:link w:val="4"/>
    <w:qFormat/>
    <w:uiPriority w:val="9"/>
    <w:rPr>
      <w:rFonts w:asciiTheme="majorHAnsi" w:hAnsiTheme="majorHAnsi" w:eastAsiaTheme="majorEastAsia" w:cstheme="majorBidi"/>
      <w:b/>
      <w:bCs/>
      <w:color w:val="5B9BD5" w:themeColor="accent1"/>
      <w14:textFill>
        <w14:solidFill>
          <w14:schemeClr w14:val="accent1"/>
        </w14:solidFill>
      </w14:textFill>
    </w:rPr>
  </w:style>
  <w:style w:type="character" w:customStyle="1" w:styleId="21">
    <w:name w:val="标题 4 字符"/>
    <w:basedOn w:val="14"/>
    <w:link w:val="5"/>
    <w:qFormat/>
    <w:uiPriority w:val="9"/>
    <w:rPr>
      <w:rFonts w:asciiTheme="majorHAnsi" w:hAnsiTheme="majorHAnsi" w:eastAsiaTheme="majorEastAsia" w:cstheme="majorBidi"/>
      <w:b/>
      <w:bCs/>
      <w:i/>
      <w:iCs/>
      <w:color w:val="5B9BD5" w:themeColor="accent1"/>
      <w14:textFill>
        <w14:solidFill>
          <w14:schemeClr w14:val="accent1"/>
        </w14:solidFill>
      </w14:textFill>
    </w:rPr>
  </w:style>
  <w:style w:type="character" w:customStyle="1" w:styleId="22">
    <w:name w:val="副标题 字符"/>
    <w:basedOn w:val="14"/>
    <w:link w:val="10"/>
    <w:qFormat/>
    <w:uiPriority w:val="11"/>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character" w:customStyle="1" w:styleId="23">
    <w:name w:val="标题 字符"/>
    <w:basedOn w:val="14"/>
    <w:link w:val="11"/>
    <w:qFormat/>
    <w:uiPriority w:val="10"/>
    <w:rPr>
      <w:rFonts w:asciiTheme="majorHAnsi" w:hAnsiTheme="majorHAnsi" w:eastAsiaTheme="majorEastAsia" w:cstheme="majorBidi"/>
      <w:color w:val="333F50"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6030</Words>
  <Characters>6754</Characters>
  <Lines>379</Lines>
  <Paragraphs>342</Paragraphs>
  <TotalTime>4</TotalTime>
  <ScaleCrop>false</ScaleCrop>
  <LinksUpToDate>false</LinksUpToDate>
  <CharactersWithSpaces>6766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2025-09-01T09:31:00Z</dcterms:created>
  <dc:creator>JY</dc:creator>
  <cp:lastModifiedBy>11点28分不打烊</cp:lastModifiedBy>
  <dcterms:modified xsi:type="dcterms:W3CDTF">2025-11-20T04:41:26Z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eyJoZGlkIjoiNTlkZWQ3ZWZiOGVhYTk1OTExMjBmYWQ4ZjAxNTk5MTciLCJ1c2VySWQiOiI5MTU3NDI2MDkifQ==</vt:lpwstr>
  </property>
  <property fmtid="{D5CDD505-2E9C-101B-9397-08002B2CF9AE}" pid="3" name="KSOProductBuildVer">
    <vt:lpwstr>2052-12.1.0.23542</vt:lpwstr>
  </property>
  <property fmtid="{D5CDD505-2E9C-101B-9397-08002B2CF9AE}" pid="4" name="ICV">
    <vt:lpwstr>D97717260C474A85BBB5BF11A2285F47_12</vt:lpwstr>
  </property>
</Properties>
</file>