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E9D15D0">
      <w:pPr>
        <w:spacing w:after="0" w:line="240" w:lineRule="auto"/>
        <w:rPr>
          <w:rFonts w:hint="eastAsia" w:ascii="宋体" w:eastAsia="宋体"/>
          <w:sz w:val="32"/>
          <w:szCs w:val="32"/>
        </w:rPr>
      </w:pPr>
    </w:p>
    <w:p w14:paraId="7B5ABBE7">
      <w:pPr>
        <w:spacing w:after="0" w:line="240" w:lineRule="auto"/>
        <w:rPr>
          <w:rFonts w:hint="eastAsia" w:ascii="宋体" w:eastAsia="宋体"/>
          <w:sz w:val="44"/>
          <w:szCs w:val="44"/>
        </w:rPr>
      </w:pPr>
    </w:p>
    <w:p w14:paraId="62E789F9">
      <w:pPr>
        <w:spacing w:after="0" w:line="240" w:lineRule="auto"/>
        <w:rPr>
          <w:rFonts w:hint="eastAsia" w:ascii="宋体" w:eastAsia="宋体"/>
          <w:sz w:val="44"/>
          <w:szCs w:val="44"/>
        </w:rPr>
      </w:pPr>
    </w:p>
    <w:p w14:paraId="67A4F570">
      <w:pPr>
        <w:spacing w:after="0" w:line="240" w:lineRule="auto"/>
        <w:rPr>
          <w:rFonts w:hint="eastAsia" w:ascii="宋体" w:eastAsia="宋体"/>
          <w:sz w:val="44"/>
          <w:szCs w:val="44"/>
        </w:rPr>
      </w:pPr>
    </w:p>
    <w:p w14:paraId="3E68BDAD">
      <w:pPr>
        <w:spacing w:after="0" w:line="240" w:lineRule="auto"/>
        <w:jc w:val="center"/>
        <w:outlineLvl w:val="0"/>
        <w:rPr>
          <w:rFonts w:hint="eastAsia" w:ascii="宋体" w:eastAsia="黑体"/>
          <w:sz w:val="44"/>
          <w:szCs w:val="44"/>
          <w:lang w:eastAsia="zh-CN"/>
        </w:rPr>
      </w:pPr>
      <w:r>
        <w:rPr>
          <w:rFonts w:ascii="宋体" w:eastAsia="黑体"/>
          <w:sz w:val="44"/>
          <w:szCs w:val="44"/>
          <w:lang w:eastAsia="zh-CN"/>
        </w:rPr>
        <w:t>昌吉市红十字会</w:t>
      </w:r>
    </w:p>
    <w:p w14:paraId="53417694">
      <w:pPr>
        <w:spacing w:after="0" w:line="240" w:lineRule="auto"/>
        <w:jc w:val="center"/>
        <w:outlineLvl w:val="0"/>
        <w:rPr>
          <w:rFonts w:hint="eastAsia" w:ascii="黑体" w:eastAsia="黑体"/>
          <w:sz w:val="44"/>
          <w:szCs w:val="44"/>
          <w:lang w:eastAsia="zh-CN"/>
        </w:rPr>
      </w:pPr>
      <w:r>
        <w:rPr>
          <w:rFonts w:ascii="黑体" w:eastAsia="黑体"/>
          <w:sz w:val="44"/>
          <w:szCs w:val="44"/>
          <w:lang w:eastAsia="zh-CN"/>
        </w:rPr>
        <w:t>2024年度部门决算公开说明</w:t>
      </w:r>
    </w:p>
    <w:p w14:paraId="116EF8B7">
      <w:pPr>
        <w:rPr>
          <w:rFonts w:hint="eastAsia"/>
          <w:lang w:eastAsia="zh-CN"/>
        </w:rPr>
      </w:pPr>
      <w:r>
        <w:rPr>
          <w:sz w:val="0"/>
          <w:szCs w:val="0"/>
          <w:lang w:eastAsia="zh-CN"/>
        </w:rPr>
        <w:br w:type="page"/>
      </w:r>
    </w:p>
    <w:p w14:paraId="69483C00">
      <w:pPr>
        <w:spacing w:after="0" w:line="240" w:lineRule="auto"/>
        <w:jc w:val="center"/>
        <w:rPr>
          <w:rFonts w:hint="eastAsia" w:ascii="黑体" w:eastAsia="黑体"/>
          <w:sz w:val="32"/>
          <w:szCs w:val="32"/>
          <w:lang w:eastAsia="zh-CN"/>
        </w:rPr>
      </w:pPr>
      <w:r>
        <w:rPr>
          <w:rFonts w:ascii="黑体" w:eastAsia="黑体"/>
          <w:b/>
          <w:sz w:val="32"/>
          <w:szCs w:val="32"/>
          <w:lang w:eastAsia="zh-CN"/>
        </w:rPr>
        <w:t>目</w:t>
      </w:r>
      <w:r>
        <w:rPr>
          <w:rFonts w:hint="eastAsia" w:ascii="黑体" w:eastAsia="黑体"/>
          <w:b/>
          <w:sz w:val="32"/>
          <w:szCs w:val="32"/>
          <w:lang w:eastAsia="zh-CN"/>
        </w:rPr>
        <w:t xml:space="preserve"> </w:t>
      </w:r>
      <w:r>
        <w:rPr>
          <w:rFonts w:ascii="黑体" w:eastAsia="黑体"/>
          <w:b/>
          <w:sz w:val="32"/>
          <w:szCs w:val="32"/>
          <w:lang w:eastAsia="zh-CN"/>
        </w:rPr>
        <w:t xml:space="preserve"> 录</w:t>
      </w:r>
    </w:p>
    <w:p w14:paraId="1332BCB2">
      <w:pPr>
        <w:spacing w:after="0" w:line="240" w:lineRule="auto"/>
        <w:rPr>
          <w:rFonts w:hint="eastAsia" w:ascii="仿宋_GB2312" w:eastAsia="仿宋_GB2312"/>
          <w:sz w:val="32"/>
          <w:szCs w:val="32"/>
          <w:lang w:eastAsia="zh-CN"/>
        </w:rPr>
      </w:pPr>
      <w:r>
        <w:rPr>
          <w:rFonts w:ascii="仿宋_GB2312" w:eastAsia="仿宋_GB2312"/>
          <w:b/>
          <w:sz w:val="32"/>
          <w:szCs w:val="32"/>
          <w:lang w:eastAsia="zh-CN"/>
        </w:rPr>
        <w:t>第一部分单位概况</w:t>
      </w:r>
    </w:p>
    <w:p w14:paraId="1C7DB356">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一、主要职能</w:t>
      </w:r>
    </w:p>
    <w:p w14:paraId="1D55A656">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二、机构设置及人员情况</w:t>
      </w:r>
    </w:p>
    <w:p w14:paraId="79DAFEA4">
      <w:pPr>
        <w:spacing w:after="0" w:line="240" w:lineRule="auto"/>
        <w:rPr>
          <w:rFonts w:hint="eastAsia" w:ascii="仿宋_GB2312" w:eastAsia="仿宋_GB2312"/>
          <w:sz w:val="32"/>
          <w:szCs w:val="32"/>
          <w:lang w:eastAsia="zh-CN"/>
        </w:rPr>
      </w:pPr>
      <w:r>
        <w:rPr>
          <w:rFonts w:ascii="仿宋_GB2312" w:eastAsia="仿宋_GB2312"/>
          <w:b/>
          <w:sz w:val="32"/>
          <w:szCs w:val="32"/>
          <w:lang w:eastAsia="zh-CN"/>
        </w:rPr>
        <w:t>第二部分 部门决算情况说明</w:t>
      </w:r>
    </w:p>
    <w:p w14:paraId="6167CBC4">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一、收入支出决算总体情况说明</w:t>
      </w:r>
    </w:p>
    <w:p w14:paraId="66011783">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二、收入决算情况说明</w:t>
      </w:r>
    </w:p>
    <w:p w14:paraId="52EFD95A">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三、支出决算情况说明</w:t>
      </w:r>
    </w:p>
    <w:p w14:paraId="56722697">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四、财政拨款收入支出决算总体情况说明</w:t>
      </w:r>
    </w:p>
    <w:p w14:paraId="743F40F9">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五、一般公共预算财政拨款支出决算情况说明</w:t>
      </w:r>
    </w:p>
    <w:p w14:paraId="39AC93A8">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（一）一般公共预算财政拨款支出决算总体情况</w:t>
      </w:r>
    </w:p>
    <w:p w14:paraId="2CA96FF8">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（二）一般公共预算财政拨款支出决算结构情况</w:t>
      </w:r>
    </w:p>
    <w:p w14:paraId="7B39520F">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（三）一般公共预算财政拨款支出决算具体情况</w:t>
      </w:r>
    </w:p>
    <w:p w14:paraId="610E08E7">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​六、一般公共预算财政拨款基本支出决算情况说明</w:t>
      </w:r>
    </w:p>
    <w:p w14:paraId="72785EB5">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七、政府性基金预算财政拨款收入支出决算情况说明</w:t>
      </w:r>
    </w:p>
    <w:p w14:paraId="0ED628F6">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八、国有资本经营预算财政拨款收入支出决算情况说明</w:t>
      </w:r>
    </w:p>
    <w:p w14:paraId="48EE2BBA">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九、财政拨款“三公”经费支出决算情况说明</w:t>
      </w:r>
    </w:p>
    <w:p w14:paraId="7410478C">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​十、其他重要事项的情况说明</w:t>
      </w:r>
    </w:p>
    <w:p w14:paraId="2F95C2EB">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（一）机关运行经费及公用经费支出情况</w:t>
      </w:r>
    </w:p>
    <w:p w14:paraId="1F636AFE">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（二）政府采购情况</w:t>
      </w:r>
    </w:p>
    <w:p w14:paraId="440C5FE6">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（三）国有资产占用情况说明</w:t>
      </w:r>
    </w:p>
    <w:p w14:paraId="29C7DB4A">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十一、预算绩效的情况说明</w:t>
      </w:r>
    </w:p>
    <w:p w14:paraId="73346C76">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十二、其他需说明的事项</w:t>
      </w:r>
    </w:p>
    <w:p w14:paraId="3D31EF1E">
      <w:pPr>
        <w:spacing w:after="0" w:line="240" w:lineRule="auto"/>
        <w:rPr>
          <w:rFonts w:hint="eastAsia" w:ascii="仿宋_GB2312" w:eastAsia="仿宋_GB2312"/>
          <w:sz w:val="32"/>
          <w:szCs w:val="32"/>
          <w:lang w:eastAsia="zh-CN"/>
        </w:rPr>
      </w:pPr>
      <w:r>
        <w:rPr>
          <w:rFonts w:ascii="仿宋_GB2312" w:eastAsia="仿宋_GB2312"/>
          <w:b/>
          <w:sz w:val="32"/>
          <w:szCs w:val="32"/>
          <w:lang w:eastAsia="zh-CN"/>
        </w:rPr>
        <w:t>第三部分 专业名词解释</w:t>
      </w:r>
    </w:p>
    <w:p w14:paraId="3FAF1C4D">
      <w:pPr>
        <w:spacing w:after="0" w:line="240" w:lineRule="auto"/>
        <w:rPr>
          <w:rFonts w:hint="eastAsia" w:ascii="仿宋_GB2312" w:eastAsia="仿宋_GB2312"/>
          <w:sz w:val="32"/>
          <w:szCs w:val="32"/>
          <w:lang w:eastAsia="zh-CN"/>
        </w:rPr>
      </w:pPr>
      <w:r>
        <w:rPr>
          <w:rFonts w:ascii="仿宋_GB2312" w:eastAsia="仿宋_GB2312"/>
          <w:b/>
          <w:sz w:val="32"/>
          <w:szCs w:val="32"/>
          <w:lang w:eastAsia="zh-CN"/>
        </w:rPr>
        <w:t>第四部分 部门决算报表（见附表）</w:t>
      </w:r>
    </w:p>
    <w:p w14:paraId="3BDD9DF9">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一、《收入支出决算总表》</w:t>
      </w:r>
    </w:p>
    <w:p w14:paraId="400237CB">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二、《收入决算表》</w:t>
      </w:r>
    </w:p>
    <w:p w14:paraId="30233486">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三、《支出决算表》</w:t>
      </w:r>
    </w:p>
    <w:p w14:paraId="51A2C0FC">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四、《财政拨款收入支出决算总表》</w:t>
      </w:r>
    </w:p>
    <w:p w14:paraId="6BD26840">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五、《一般公共预算财政拨款支出决算表》</w:t>
      </w:r>
    </w:p>
    <w:p w14:paraId="01F63DE3">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六、《一般公共预算财政拨款基本支出决算表》</w:t>
      </w:r>
    </w:p>
    <w:p w14:paraId="5EB0F0D3">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七、《政府性基金预算财政拨款收入支出决算表》</w:t>
      </w:r>
    </w:p>
    <w:p w14:paraId="4513B3CF">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八、《国有资本经营预算财政拨款收入支出决算表》</w:t>
      </w:r>
    </w:p>
    <w:p w14:paraId="1FE5DEEC">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九、《财政拨款“三公”经费支出决算表》</w:t>
      </w:r>
    </w:p>
    <w:p w14:paraId="50A5CB97">
      <w:pPr>
        <w:rPr>
          <w:rFonts w:hint="eastAsia"/>
          <w:lang w:eastAsia="zh-CN"/>
        </w:rPr>
      </w:pPr>
      <w:r>
        <w:rPr>
          <w:sz w:val="0"/>
          <w:szCs w:val="0"/>
          <w:lang w:eastAsia="zh-CN"/>
        </w:rPr>
        <w:br w:type="page"/>
      </w:r>
    </w:p>
    <w:p w14:paraId="0380411E">
      <w:pPr>
        <w:spacing w:after="0" w:line="240" w:lineRule="auto"/>
        <w:jc w:val="center"/>
        <w:outlineLvl w:val="0"/>
        <w:rPr>
          <w:rFonts w:hint="eastAsia" w:ascii="黑体" w:eastAsia="黑体"/>
          <w:sz w:val="32"/>
          <w:szCs w:val="32"/>
          <w:lang w:eastAsia="zh-CN"/>
        </w:rPr>
      </w:pPr>
      <w:r>
        <w:rPr>
          <w:rFonts w:ascii="黑体" w:eastAsia="黑体"/>
          <w:sz w:val="32"/>
          <w:szCs w:val="32"/>
          <w:lang w:eastAsia="zh-CN"/>
        </w:rPr>
        <w:t>第一部分</w:t>
      </w:r>
      <w:r>
        <w:rPr>
          <w:rFonts w:hint="eastAsia" w:ascii="黑体" w:eastAsia="黑体"/>
          <w:sz w:val="32"/>
          <w:szCs w:val="32"/>
          <w:lang w:eastAsia="zh-CN"/>
        </w:rPr>
        <w:t xml:space="preserve"> </w:t>
      </w:r>
      <w:r>
        <w:rPr>
          <w:rFonts w:ascii="黑体" w:eastAsia="黑体"/>
          <w:sz w:val="32"/>
          <w:szCs w:val="32"/>
          <w:lang w:eastAsia="zh-CN"/>
        </w:rPr>
        <w:t>单位概况</w:t>
      </w:r>
    </w:p>
    <w:p w14:paraId="6A4EC688">
      <w:pPr>
        <w:spacing w:after="0" w:line="240" w:lineRule="auto"/>
        <w:ind w:firstLine="640" w:firstLineChars="200"/>
        <w:outlineLvl w:val="1"/>
        <w:rPr>
          <w:rFonts w:hint="eastAsia" w:ascii="黑体" w:eastAsia="黑体"/>
          <w:sz w:val="32"/>
          <w:szCs w:val="32"/>
          <w:lang w:eastAsia="zh-CN"/>
        </w:rPr>
      </w:pPr>
      <w:r>
        <w:rPr>
          <w:rFonts w:ascii="黑体" w:eastAsia="黑体"/>
          <w:sz w:val="32"/>
          <w:szCs w:val="32"/>
          <w:lang w:eastAsia="zh-CN"/>
        </w:rPr>
        <w:t>一、主要职能</w:t>
      </w:r>
    </w:p>
    <w:p w14:paraId="6B2336CE">
      <w:pPr>
        <w:spacing w:after="0" w:line="240" w:lineRule="auto"/>
        <w:ind w:firstLine="640" w:firstLineChars="200"/>
        <w:jc w:val="both"/>
        <w:rPr>
          <w:rFonts w:hint="eastAsia" w:ascii="仿宋_GB2312" w:eastAsia="仿宋_GB2312"/>
          <w:sz w:val="32"/>
          <w:szCs w:val="32"/>
          <w:lang w:eastAsia="zh-CN"/>
        </w:rPr>
      </w:pPr>
      <w:r>
        <w:rPr>
          <w:rFonts w:hint="eastAsia" w:ascii="仿宋_GB2312" w:eastAsia="仿宋_GB2312"/>
          <w:sz w:val="32"/>
          <w:szCs w:val="32"/>
          <w:lang w:eastAsia="zh-CN"/>
        </w:rPr>
        <w:t>1.</w:t>
      </w:r>
      <w:r>
        <w:rPr>
          <w:rFonts w:ascii="仿宋_GB2312" w:eastAsia="仿宋_GB2312"/>
          <w:sz w:val="32"/>
          <w:szCs w:val="32"/>
          <w:lang w:eastAsia="zh-CN"/>
        </w:rPr>
        <w:t>宣传贯彻落实《中华人民共和国红十字会法》、《中国红十字会章程》、《中华人民共和国红十字标志使用办法》、《新疆维吾尔自治区实施＜中华人民共和国红十字会法＞办法》和《中华人民共和国献血法》</w:t>
      </w:r>
      <w:r>
        <w:rPr>
          <w:rFonts w:hint="eastAsia" w:ascii="仿宋_GB2312" w:eastAsia="仿宋_GB2312"/>
          <w:sz w:val="32"/>
          <w:szCs w:val="32"/>
          <w:lang w:eastAsia="zh-CN"/>
        </w:rPr>
        <w:t>，</w:t>
      </w:r>
      <w:r>
        <w:rPr>
          <w:rFonts w:ascii="仿宋_GB2312" w:eastAsia="仿宋_GB2312"/>
          <w:sz w:val="32"/>
          <w:szCs w:val="32"/>
          <w:lang w:eastAsia="zh-CN"/>
        </w:rPr>
        <w:t>依法组织开展红十字会各项工作。</w:t>
      </w:r>
    </w:p>
    <w:p w14:paraId="40FA7027">
      <w:pPr>
        <w:spacing w:after="0" w:line="240" w:lineRule="auto"/>
        <w:ind w:firstLine="640" w:firstLineChars="200"/>
        <w:jc w:val="both"/>
        <w:rPr>
          <w:rFonts w:hint="eastAsia" w:ascii="仿宋_GB2312" w:eastAsia="仿宋_GB2312"/>
          <w:sz w:val="32"/>
          <w:szCs w:val="32"/>
          <w:lang w:eastAsia="zh-CN"/>
        </w:rPr>
      </w:pPr>
      <w:r>
        <w:rPr>
          <w:rFonts w:hint="eastAsia" w:ascii="仿宋_GB2312" w:eastAsia="仿宋_GB2312"/>
          <w:sz w:val="32"/>
          <w:szCs w:val="32"/>
          <w:lang w:eastAsia="zh-CN"/>
        </w:rPr>
        <w:t>2.</w:t>
      </w:r>
      <w:r>
        <w:rPr>
          <w:rFonts w:ascii="仿宋_GB2312" w:eastAsia="仿宋_GB2312"/>
          <w:sz w:val="32"/>
          <w:szCs w:val="32"/>
          <w:lang w:eastAsia="zh-CN"/>
        </w:rPr>
        <w:t>负责组织培训骨干队伍，对伤病人员和其他受害者进行救助；向有关部门报告，呼吁辖区内提供人道主义援助，依法管理昌吉市红十字会接受国内外组织和个人的捐助款物。</w:t>
      </w:r>
    </w:p>
    <w:p w14:paraId="62AD509F">
      <w:pPr>
        <w:spacing w:after="0" w:line="240" w:lineRule="auto"/>
        <w:ind w:firstLine="640" w:firstLineChars="200"/>
        <w:jc w:val="both"/>
        <w:rPr>
          <w:rFonts w:hint="eastAsia" w:ascii="仿宋_GB2312" w:eastAsia="仿宋_GB2312"/>
          <w:sz w:val="32"/>
          <w:szCs w:val="32"/>
          <w:lang w:eastAsia="zh-CN"/>
        </w:rPr>
      </w:pPr>
      <w:r>
        <w:rPr>
          <w:rFonts w:hint="eastAsia" w:ascii="仿宋_GB2312" w:eastAsia="仿宋_GB2312"/>
          <w:sz w:val="32"/>
          <w:szCs w:val="32"/>
          <w:lang w:eastAsia="zh-CN"/>
        </w:rPr>
        <w:t>3.</w:t>
      </w:r>
      <w:r>
        <w:rPr>
          <w:rFonts w:ascii="仿宋_GB2312" w:eastAsia="仿宋_GB2312"/>
          <w:sz w:val="32"/>
          <w:szCs w:val="32"/>
          <w:lang w:eastAsia="zh-CN"/>
        </w:rPr>
        <w:t>开展卫生救护和防病知识宣传普及；在易发生伤害的行业和基层组织开展初级卫生救护培训，组织群众参加意外伤害和现场救护。</w:t>
      </w:r>
    </w:p>
    <w:p w14:paraId="2DFAD667">
      <w:pPr>
        <w:spacing w:after="0" w:line="240" w:lineRule="auto"/>
        <w:ind w:firstLine="640" w:firstLineChars="200"/>
        <w:jc w:val="both"/>
        <w:rPr>
          <w:rFonts w:hint="eastAsia" w:ascii="仿宋_GB2312" w:eastAsia="仿宋_GB2312"/>
          <w:sz w:val="32"/>
          <w:szCs w:val="32"/>
          <w:lang w:eastAsia="zh-CN"/>
        </w:rPr>
      </w:pPr>
      <w:r>
        <w:rPr>
          <w:rFonts w:hint="eastAsia" w:ascii="仿宋_GB2312" w:eastAsia="仿宋_GB2312"/>
          <w:sz w:val="32"/>
          <w:szCs w:val="32"/>
          <w:lang w:eastAsia="zh-CN"/>
        </w:rPr>
        <w:t>4.</w:t>
      </w:r>
      <w:r>
        <w:rPr>
          <w:rFonts w:ascii="仿宋_GB2312" w:eastAsia="仿宋_GB2312"/>
          <w:sz w:val="32"/>
          <w:szCs w:val="32"/>
          <w:lang w:eastAsia="zh-CN"/>
        </w:rPr>
        <w:t>协助人民政府开展无偿献血的宣传推动工作。</w:t>
      </w:r>
    </w:p>
    <w:p w14:paraId="0B0003D0">
      <w:pPr>
        <w:spacing w:after="0" w:line="240" w:lineRule="auto"/>
        <w:ind w:firstLine="640" w:firstLineChars="200"/>
        <w:jc w:val="both"/>
        <w:rPr>
          <w:rFonts w:hint="eastAsia" w:ascii="仿宋_GB2312" w:eastAsia="仿宋_GB2312"/>
          <w:sz w:val="32"/>
          <w:szCs w:val="32"/>
          <w:lang w:eastAsia="zh-CN"/>
        </w:rPr>
      </w:pPr>
      <w:r>
        <w:rPr>
          <w:rFonts w:hint="eastAsia" w:ascii="仿宋_GB2312" w:eastAsia="仿宋_GB2312"/>
          <w:sz w:val="32"/>
          <w:szCs w:val="32"/>
          <w:lang w:eastAsia="zh-CN"/>
        </w:rPr>
        <w:t>5.</w:t>
      </w:r>
      <w:r>
        <w:rPr>
          <w:rFonts w:ascii="仿宋_GB2312" w:eastAsia="仿宋_GB2312"/>
          <w:sz w:val="32"/>
          <w:szCs w:val="32"/>
          <w:lang w:eastAsia="zh-CN"/>
        </w:rPr>
        <w:t>开展社会服务和社区红十字服务工作；组织会员、志愿工作者在社区开展社会服务、宣传培训、募捐救助活动。</w:t>
      </w:r>
    </w:p>
    <w:p w14:paraId="1A9F069A">
      <w:pPr>
        <w:spacing w:after="0" w:line="240" w:lineRule="auto"/>
        <w:ind w:firstLine="640" w:firstLineChars="200"/>
        <w:jc w:val="both"/>
        <w:rPr>
          <w:rFonts w:hint="eastAsia" w:ascii="仿宋_GB2312" w:eastAsia="仿宋_GB2312"/>
          <w:sz w:val="32"/>
          <w:szCs w:val="32"/>
          <w:lang w:eastAsia="zh-CN"/>
        </w:rPr>
      </w:pPr>
      <w:r>
        <w:rPr>
          <w:rFonts w:hint="eastAsia" w:ascii="仿宋_GB2312" w:eastAsia="仿宋_GB2312"/>
          <w:sz w:val="32"/>
          <w:szCs w:val="32"/>
          <w:lang w:eastAsia="zh-CN"/>
        </w:rPr>
        <w:t>6.</w:t>
      </w:r>
      <w:r>
        <w:rPr>
          <w:rFonts w:ascii="仿宋_GB2312" w:eastAsia="仿宋_GB2312"/>
          <w:sz w:val="32"/>
          <w:szCs w:val="32"/>
          <w:lang w:eastAsia="zh-CN"/>
        </w:rPr>
        <w:t>开展预防、宣传和健康教育、关心爱护生病患者及其他救助工作；开展其他人道救助工作。</w:t>
      </w:r>
    </w:p>
    <w:p w14:paraId="61CCF2B9">
      <w:pPr>
        <w:spacing w:after="0" w:line="240" w:lineRule="auto"/>
        <w:ind w:firstLine="640" w:firstLineChars="200"/>
        <w:jc w:val="both"/>
        <w:rPr>
          <w:rFonts w:hint="eastAsia" w:ascii="仿宋_GB2312" w:eastAsia="仿宋_GB2312"/>
          <w:sz w:val="32"/>
          <w:szCs w:val="32"/>
          <w:lang w:eastAsia="zh-CN"/>
        </w:rPr>
      </w:pPr>
      <w:r>
        <w:rPr>
          <w:rFonts w:hint="eastAsia" w:ascii="仿宋_GB2312" w:eastAsia="仿宋_GB2312"/>
          <w:sz w:val="32"/>
          <w:szCs w:val="32"/>
          <w:lang w:eastAsia="zh-CN"/>
        </w:rPr>
        <w:t>7.</w:t>
      </w:r>
      <w:r>
        <w:rPr>
          <w:rFonts w:ascii="仿宋_GB2312" w:eastAsia="仿宋_GB2312"/>
          <w:sz w:val="32"/>
          <w:szCs w:val="32"/>
          <w:lang w:eastAsia="zh-CN"/>
        </w:rPr>
        <w:t>开展有益于青少年身心健康的红十字青少年活动。</w:t>
      </w:r>
    </w:p>
    <w:p w14:paraId="0E888691">
      <w:pPr>
        <w:spacing w:after="0" w:line="240" w:lineRule="auto"/>
        <w:ind w:firstLine="640" w:firstLineChars="200"/>
        <w:jc w:val="both"/>
        <w:rPr>
          <w:rFonts w:hint="eastAsia" w:ascii="仿宋_GB2312" w:eastAsia="仿宋_GB2312"/>
          <w:sz w:val="32"/>
          <w:szCs w:val="32"/>
          <w:lang w:eastAsia="zh-CN"/>
        </w:rPr>
      </w:pPr>
      <w:r>
        <w:rPr>
          <w:rFonts w:hint="eastAsia" w:ascii="仿宋_GB2312" w:eastAsia="仿宋_GB2312"/>
          <w:sz w:val="32"/>
          <w:szCs w:val="32"/>
          <w:lang w:eastAsia="zh-CN"/>
        </w:rPr>
        <w:t>8.</w:t>
      </w:r>
      <w:r>
        <w:rPr>
          <w:rFonts w:ascii="仿宋_GB2312" w:eastAsia="仿宋_GB2312"/>
          <w:sz w:val="32"/>
          <w:szCs w:val="32"/>
          <w:lang w:eastAsia="zh-CN"/>
        </w:rPr>
        <w:t>参加国内外人道主义救援工作；开展与区内外红十字会组织的交流与合作。</w:t>
      </w:r>
    </w:p>
    <w:p w14:paraId="269F169C">
      <w:pPr>
        <w:spacing w:after="0" w:line="240" w:lineRule="auto"/>
        <w:ind w:firstLine="640" w:firstLineChars="200"/>
        <w:jc w:val="both"/>
        <w:rPr>
          <w:rFonts w:hint="eastAsia" w:ascii="仿宋_GB2312" w:eastAsia="仿宋_GB2312"/>
          <w:sz w:val="32"/>
          <w:szCs w:val="32"/>
          <w:lang w:eastAsia="zh-CN"/>
        </w:rPr>
      </w:pPr>
      <w:r>
        <w:rPr>
          <w:rFonts w:hint="eastAsia" w:ascii="仿宋_GB2312" w:eastAsia="仿宋_GB2312"/>
          <w:sz w:val="32"/>
          <w:szCs w:val="32"/>
          <w:lang w:eastAsia="zh-CN"/>
        </w:rPr>
        <w:t>9.</w:t>
      </w:r>
      <w:r>
        <w:rPr>
          <w:rFonts w:ascii="仿宋_GB2312" w:eastAsia="仿宋_GB2312"/>
          <w:sz w:val="32"/>
          <w:szCs w:val="32"/>
          <w:lang w:eastAsia="zh-CN"/>
        </w:rPr>
        <w:t>开展捐献造血干细胞的宣传动员、组织工作。</w:t>
      </w:r>
    </w:p>
    <w:p w14:paraId="40331F69">
      <w:pPr>
        <w:spacing w:after="0" w:line="240" w:lineRule="auto"/>
        <w:ind w:firstLine="640" w:firstLineChars="200"/>
        <w:jc w:val="both"/>
        <w:rPr>
          <w:rFonts w:hint="eastAsia" w:ascii="仿宋_GB2312" w:eastAsia="仿宋_GB2312"/>
          <w:sz w:val="32"/>
          <w:szCs w:val="32"/>
          <w:lang w:eastAsia="zh-CN"/>
        </w:rPr>
      </w:pPr>
      <w:r>
        <w:rPr>
          <w:rFonts w:hint="eastAsia" w:ascii="仿宋_GB2312" w:eastAsia="仿宋_GB2312"/>
          <w:sz w:val="32"/>
          <w:szCs w:val="32"/>
          <w:lang w:eastAsia="zh-CN"/>
        </w:rPr>
        <w:t>10.</w:t>
      </w:r>
      <w:r>
        <w:rPr>
          <w:rFonts w:ascii="仿宋_GB2312" w:eastAsia="仿宋_GB2312"/>
          <w:sz w:val="32"/>
          <w:szCs w:val="32"/>
          <w:lang w:eastAsia="zh-CN"/>
        </w:rPr>
        <w:t>依法开展募捐活动；在公共场所设置红十字募捐箱并进行管理；依照法律法规自主处分募捐款物。</w:t>
      </w:r>
    </w:p>
    <w:p w14:paraId="0448D697">
      <w:pPr>
        <w:spacing w:after="0" w:line="240" w:lineRule="auto"/>
        <w:ind w:firstLine="640" w:firstLineChars="200"/>
        <w:jc w:val="both"/>
        <w:rPr>
          <w:rFonts w:hint="eastAsia" w:ascii="仿宋_GB2312" w:eastAsia="仿宋_GB2312"/>
          <w:sz w:val="32"/>
          <w:szCs w:val="32"/>
          <w:lang w:eastAsia="zh-CN"/>
        </w:rPr>
      </w:pPr>
      <w:r>
        <w:rPr>
          <w:rFonts w:hint="eastAsia" w:ascii="仿宋_GB2312" w:eastAsia="仿宋_GB2312"/>
          <w:sz w:val="32"/>
          <w:szCs w:val="32"/>
          <w:lang w:eastAsia="zh-CN"/>
        </w:rPr>
        <w:t>11.</w:t>
      </w:r>
      <w:r>
        <w:rPr>
          <w:rFonts w:ascii="仿宋_GB2312" w:eastAsia="仿宋_GB2312"/>
          <w:sz w:val="32"/>
          <w:szCs w:val="32"/>
          <w:lang w:eastAsia="zh-CN"/>
        </w:rPr>
        <w:t>兴办符合红十字会宗旨的社会福利事业。</w:t>
      </w:r>
    </w:p>
    <w:p w14:paraId="795D115B">
      <w:pPr>
        <w:spacing w:after="0" w:line="240" w:lineRule="auto"/>
        <w:ind w:firstLine="640" w:firstLineChars="200"/>
        <w:jc w:val="both"/>
        <w:rPr>
          <w:rFonts w:hint="eastAsia" w:ascii="仿宋_GB2312" w:eastAsia="仿宋_GB2312"/>
          <w:sz w:val="32"/>
          <w:szCs w:val="32"/>
          <w:lang w:eastAsia="zh-CN"/>
        </w:rPr>
      </w:pPr>
      <w:r>
        <w:rPr>
          <w:rFonts w:hint="eastAsia" w:ascii="仿宋_GB2312" w:eastAsia="仿宋_GB2312"/>
          <w:sz w:val="32"/>
          <w:szCs w:val="32"/>
          <w:lang w:eastAsia="zh-CN"/>
        </w:rPr>
        <w:t>12.</w:t>
      </w:r>
      <w:r>
        <w:rPr>
          <w:rFonts w:ascii="仿宋_GB2312" w:eastAsia="仿宋_GB2312"/>
          <w:sz w:val="32"/>
          <w:szCs w:val="32"/>
          <w:lang w:eastAsia="zh-CN"/>
        </w:rPr>
        <w:t>指导乡镇、街道、企业、事业单位和学校建立基层组织，督促、检查、指导基层红十字会开展工作，保障会员正确行使权利和履行义务。</w:t>
      </w:r>
    </w:p>
    <w:p w14:paraId="026FBA3C">
      <w:pPr>
        <w:spacing w:after="0" w:line="240" w:lineRule="auto"/>
        <w:ind w:firstLine="640" w:firstLineChars="200"/>
        <w:jc w:val="both"/>
        <w:rPr>
          <w:rFonts w:hint="eastAsia" w:ascii="仿宋_GB2312" w:eastAsia="仿宋_GB2312"/>
          <w:sz w:val="32"/>
          <w:szCs w:val="32"/>
          <w:lang w:eastAsia="zh-CN"/>
        </w:rPr>
      </w:pPr>
      <w:r>
        <w:rPr>
          <w:rFonts w:hint="eastAsia" w:ascii="仿宋_GB2312" w:eastAsia="仿宋_GB2312"/>
          <w:sz w:val="32"/>
          <w:szCs w:val="32"/>
          <w:lang w:eastAsia="zh-CN"/>
        </w:rPr>
        <w:t>13.</w:t>
      </w:r>
      <w:r>
        <w:rPr>
          <w:rFonts w:ascii="仿宋_GB2312" w:eastAsia="仿宋_GB2312"/>
          <w:sz w:val="32"/>
          <w:szCs w:val="32"/>
          <w:lang w:eastAsia="zh-CN"/>
        </w:rPr>
        <w:t>昌吉市红十字会机关还具体承担着有关会议的组织、来电处理、机要保密、安全保卫、档案管理、来信来访、机关党建和精神文明工作；负责目标管理的实施、督查；指导基层红十字会开展工作；负责各类先进的评选；组织群众参加意外伤害、救助及日常培训；负责统计、分配、登记工作；公共场所60个募捐箱的日常管理；开展对辖区内弱势群体的调查及困难紧迫群众的紧急救助，为政府分忧，为群众解难。</w:t>
      </w:r>
    </w:p>
    <w:p w14:paraId="1348521D">
      <w:pPr>
        <w:spacing w:after="0" w:line="240" w:lineRule="auto"/>
        <w:ind w:firstLine="640" w:firstLineChars="200"/>
        <w:jc w:val="both"/>
        <w:rPr>
          <w:rFonts w:hint="eastAsia" w:ascii="仿宋_GB2312" w:eastAsia="仿宋_GB2312"/>
          <w:sz w:val="32"/>
          <w:szCs w:val="32"/>
          <w:lang w:eastAsia="zh-CN"/>
        </w:rPr>
      </w:pPr>
      <w:r>
        <w:rPr>
          <w:rFonts w:hint="eastAsia" w:ascii="仿宋_GB2312" w:eastAsia="仿宋_GB2312"/>
          <w:sz w:val="32"/>
          <w:szCs w:val="32"/>
          <w:lang w:eastAsia="zh-CN"/>
        </w:rPr>
        <w:t>14.</w:t>
      </w:r>
      <w:r>
        <w:rPr>
          <w:rFonts w:ascii="仿宋_GB2312" w:eastAsia="仿宋_GB2312"/>
          <w:sz w:val="32"/>
          <w:szCs w:val="32"/>
          <w:lang w:eastAsia="zh-CN"/>
        </w:rPr>
        <w:t>完成市人民政府交办和委托的其他工作。</w:t>
      </w:r>
    </w:p>
    <w:p w14:paraId="5882CC7F">
      <w:pPr>
        <w:spacing w:after="0" w:line="240" w:lineRule="auto"/>
        <w:ind w:firstLine="640" w:firstLineChars="200"/>
        <w:outlineLvl w:val="1"/>
        <w:rPr>
          <w:rFonts w:hint="eastAsia" w:ascii="黑体" w:eastAsia="黑体"/>
          <w:sz w:val="32"/>
          <w:szCs w:val="32"/>
          <w:lang w:eastAsia="zh-CN"/>
        </w:rPr>
      </w:pPr>
      <w:r>
        <w:rPr>
          <w:rFonts w:ascii="黑体" w:eastAsia="黑体"/>
          <w:sz w:val="32"/>
          <w:szCs w:val="32"/>
          <w:lang w:eastAsia="zh-CN"/>
        </w:rPr>
        <w:t>二、机构设置及人员情况</w:t>
      </w:r>
    </w:p>
    <w:p w14:paraId="2CEC0A31">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昌吉市红十字会2024年度，实有人数9人，其中：在职人员4人，较上年无变化；离休人员0人，较上年无变化；退休人员5人，增加1人。</w:t>
      </w:r>
    </w:p>
    <w:p w14:paraId="764FBC69">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昌吉市红十字会无下属预算单位，下设1个</w:t>
      </w:r>
      <w:r>
        <w:rPr>
          <w:rFonts w:hint="eastAsia" w:ascii="仿宋_GB2312" w:eastAsia="仿宋_GB2312"/>
          <w:sz w:val="32"/>
          <w:szCs w:val="32"/>
          <w:lang w:eastAsia="zh-CN"/>
        </w:rPr>
        <w:t>科室</w:t>
      </w:r>
      <w:r>
        <w:rPr>
          <w:rFonts w:ascii="仿宋_GB2312" w:eastAsia="仿宋_GB2312"/>
          <w:sz w:val="32"/>
          <w:szCs w:val="32"/>
          <w:lang w:eastAsia="zh-CN"/>
        </w:rPr>
        <w:t>，分别是：综合办公室。</w:t>
      </w:r>
    </w:p>
    <w:p w14:paraId="6BFBF457">
      <w:pPr>
        <w:rPr>
          <w:rFonts w:hint="eastAsia"/>
          <w:lang w:eastAsia="zh-CN"/>
        </w:rPr>
      </w:pPr>
      <w:r>
        <w:rPr>
          <w:sz w:val="0"/>
          <w:szCs w:val="0"/>
          <w:lang w:eastAsia="zh-CN"/>
        </w:rPr>
        <w:br w:type="page"/>
      </w:r>
    </w:p>
    <w:p w14:paraId="3BD99289">
      <w:pPr>
        <w:spacing w:after="0" w:line="240" w:lineRule="auto"/>
        <w:jc w:val="center"/>
        <w:outlineLvl w:val="0"/>
        <w:rPr>
          <w:rFonts w:hint="eastAsia" w:ascii="黑体" w:eastAsia="黑体"/>
          <w:sz w:val="32"/>
          <w:szCs w:val="32"/>
          <w:lang w:eastAsia="zh-CN"/>
        </w:rPr>
      </w:pPr>
      <w:r>
        <w:rPr>
          <w:rFonts w:ascii="黑体" w:eastAsia="黑体"/>
          <w:sz w:val="32"/>
          <w:szCs w:val="32"/>
          <w:lang w:eastAsia="zh-CN"/>
        </w:rPr>
        <w:t>第二部分 部门决算情况说明</w:t>
      </w:r>
    </w:p>
    <w:p w14:paraId="24D75F06">
      <w:pPr>
        <w:spacing w:after="0" w:line="240" w:lineRule="auto"/>
        <w:ind w:firstLine="640" w:firstLineChars="200"/>
        <w:outlineLvl w:val="1"/>
        <w:rPr>
          <w:rFonts w:hint="eastAsia" w:ascii="黑体" w:eastAsia="黑体"/>
          <w:sz w:val="32"/>
          <w:szCs w:val="32"/>
          <w:lang w:eastAsia="zh-CN"/>
        </w:rPr>
      </w:pPr>
      <w:r>
        <w:rPr>
          <w:rFonts w:ascii="黑体" w:eastAsia="黑体"/>
          <w:sz w:val="32"/>
          <w:szCs w:val="32"/>
          <w:lang w:eastAsia="zh-CN"/>
        </w:rPr>
        <w:t>一、收入支出决算总体情况说明</w:t>
      </w:r>
    </w:p>
    <w:p w14:paraId="75652711">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2024年度收入总计105.28万元，其中：本年收入合计105.28万元，使用非财政拨款结余（含专用结余）0.00万元，年初结转和结余0.00万元。</w:t>
      </w:r>
    </w:p>
    <w:p w14:paraId="4498B8BA">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2024年度支出总计105.28万元，其中：本年支出合计105.28万元，结余分配0.00万元，年末结转和结余0.00万元。</w:t>
      </w:r>
    </w:p>
    <w:p w14:paraId="31F393A9">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收入支出总体与上年相比，减少4.02万元，下降3.68%，主要原因是：</w:t>
      </w:r>
      <w:r>
        <w:rPr>
          <w:rFonts w:hint="eastAsia" w:ascii="仿宋_GB2312" w:eastAsia="仿宋_GB2312"/>
          <w:sz w:val="32"/>
          <w:szCs w:val="32"/>
          <w:lang w:eastAsia="zh-CN"/>
        </w:rPr>
        <w:t>单位年初在职人员减少，年末新进职工职级低，工资、津贴补贴、奖金等人员经费减少。</w:t>
      </w:r>
    </w:p>
    <w:p w14:paraId="687476EF">
      <w:pPr>
        <w:spacing w:after="0" w:line="240" w:lineRule="auto"/>
        <w:ind w:firstLine="640" w:firstLineChars="200"/>
        <w:outlineLvl w:val="1"/>
        <w:rPr>
          <w:rFonts w:hint="eastAsia" w:ascii="黑体" w:eastAsia="黑体"/>
          <w:sz w:val="32"/>
          <w:szCs w:val="32"/>
          <w:lang w:eastAsia="zh-CN"/>
        </w:rPr>
      </w:pPr>
      <w:r>
        <w:rPr>
          <w:rFonts w:ascii="黑体" w:eastAsia="黑体"/>
          <w:sz w:val="32"/>
          <w:szCs w:val="32"/>
          <w:lang w:eastAsia="zh-CN"/>
        </w:rPr>
        <w:t>二、收入决算情况说明</w:t>
      </w:r>
    </w:p>
    <w:p w14:paraId="5703A609">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本年收入105.28万元，其中：财政拨款收入105.28万元,占100.00%；上级补助收入0.00万元,占0.00%；事业收入0.00万元，占0.00%；经营收入0.00万元,占0.00%；附属单位上缴收入0.00万元，占0.00%；其他收入0.00万元，占0.00%。</w:t>
      </w:r>
    </w:p>
    <w:p w14:paraId="420580BC">
      <w:pPr>
        <w:spacing w:after="0" w:line="240" w:lineRule="auto"/>
        <w:ind w:firstLine="640" w:firstLineChars="200"/>
        <w:outlineLvl w:val="1"/>
        <w:rPr>
          <w:rFonts w:hint="eastAsia" w:ascii="黑体" w:eastAsia="黑体"/>
          <w:sz w:val="32"/>
          <w:szCs w:val="32"/>
          <w:lang w:eastAsia="zh-CN"/>
        </w:rPr>
      </w:pPr>
      <w:r>
        <w:rPr>
          <w:rFonts w:ascii="黑体" w:eastAsia="黑体"/>
          <w:sz w:val="32"/>
          <w:szCs w:val="32"/>
          <w:lang w:eastAsia="zh-CN"/>
        </w:rPr>
        <w:t>三、支出决算情况说明</w:t>
      </w:r>
    </w:p>
    <w:p w14:paraId="6828817D">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本年支出105.28万元，其中：基本支出105.28万元，占100.00%；项目支出0.00万元，占0.00%；上缴上级支出0.00万元，占0.00%；经营支出0.00万元，占0.00%；对附属单位补助支出0.00万元，占0.00%。</w:t>
      </w:r>
    </w:p>
    <w:p w14:paraId="74FC8667">
      <w:pPr>
        <w:spacing w:after="0" w:line="240" w:lineRule="auto"/>
        <w:ind w:firstLine="640" w:firstLineChars="200"/>
        <w:outlineLvl w:val="1"/>
        <w:rPr>
          <w:rFonts w:hint="eastAsia" w:ascii="黑体" w:eastAsia="黑体"/>
          <w:sz w:val="32"/>
          <w:szCs w:val="32"/>
          <w:lang w:eastAsia="zh-CN"/>
        </w:rPr>
      </w:pPr>
      <w:r>
        <w:rPr>
          <w:rFonts w:ascii="黑体" w:eastAsia="黑体"/>
          <w:sz w:val="32"/>
          <w:szCs w:val="32"/>
          <w:lang w:eastAsia="zh-CN"/>
        </w:rPr>
        <w:t>四、财政拨款收入支出决算总体情况说明</w:t>
      </w:r>
    </w:p>
    <w:p w14:paraId="16BD1023">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2024年度财政拨款收入总计105.28万元，其中：年初财政拨款结转和结余0.00万元，本年财政拨款收入105.28万元。财政拨款支出总计105.28万元，其中：年末财政拨款结转和结余0.00万元，本年财政拨款支出105.28万元。</w:t>
      </w:r>
    </w:p>
    <w:p w14:paraId="6E20C5C9">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财政拨款收入支出总体与上年相比，减少4.02万元，下降3.68%，主要原因是：</w:t>
      </w:r>
      <w:r>
        <w:rPr>
          <w:rFonts w:hint="eastAsia" w:ascii="仿宋_GB2312" w:eastAsia="仿宋_GB2312"/>
          <w:sz w:val="32"/>
          <w:szCs w:val="32"/>
          <w:lang w:eastAsia="zh-CN"/>
        </w:rPr>
        <w:t>单位年初在职人员减少，年末新进职工职级低，工资、津贴补贴、奖金等人员经费减少。</w:t>
      </w:r>
      <w:r>
        <w:rPr>
          <w:rFonts w:ascii="仿宋_GB2312" w:eastAsia="仿宋_GB2312"/>
          <w:sz w:val="32"/>
          <w:szCs w:val="32"/>
          <w:lang w:eastAsia="zh-CN"/>
        </w:rPr>
        <w:t>与年初预算相比，年初预算数96.65万元，决算数105.28万元，预决算差异率8.93%，主要原因是：</w:t>
      </w:r>
      <w:r>
        <w:rPr>
          <w:rFonts w:hint="eastAsia" w:ascii="仿宋_GB2312" w:eastAsia="仿宋_GB2312"/>
          <w:sz w:val="32"/>
          <w:szCs w:val="32"/>
          <w:lang w:eastAsia="zh-CN"/>
        </w:rPr>
        <w:t>年中追加基本工资、津贴补贴、奖金等人员经费</w:t>
      </w:r>
      <w:r>
        <w:rPr>
          <w:rFonts w:ascii="仿宋_GB2312" w:eastAsia="仿宋_GB2312"/>
          <w:sz w:val="32"/>
          <w:szCs w:val="32"/>
          <w:lang w:eastAsia="zh-CN"/>
        </w:rPr>
        <w:t>。</w:t>
      </w:r>
    </w:p>
    <w:p w14:paraId="7A509D43">
      <w:pPr>
        <w:spacing w:after="0" w:line="240" w:lineRule="auto"/>
        <w:ind w:firstLine="640" w:firstLineChars="200"/>
        <w:outlineLvl w:val="1"/>
        <w:rPr>
          <w:rFonts w:hint="eastAsia" w:ascii="黑体" w:eastAsia="黑体"/>
          <w:sz w:val="32"/>
          <w:szCs w:val="32"/>
          <w:lang w:eastAsia="zh-CN"/>
        </w:rPr>
      </w:pPr>
      <w:r>
        <w:rPr>
          <w:rFonts w:ascii="黑体" w:eastAsia="黑体"/>
          <w:sz w:val="32"/>
          <w:szCs w:val="32"/>
          <w:lang w:eastAsia="zh-CN"/>
        </w:rPr>
        <w:t>五、一般公共预算财政拨款支出决算情况说明</w:t>
      </w:r>
    </w:p>
    <w:p w14:paraId="01AE0D41">
      <w:pPr>
        <w:spacing w:after="0" w:line="240" w:lineRule="auto"/>
        <w:ind w:firstLine="643" w:firstLineChars="200"/>
        <w:outlineLvl w:val="2"/>
        <w:rPr>
          <w:rFonts w:hint="eastAsia" w:ascii="黑体" w:eastAsia="黑体"/>
          <w:sz w:val="32"/>
          <w:szCs w:val="32"/>
          <w:lang w:eastAsia="zh-CN"/>
        </w:rPr>
      </w:pPr>
      <w:r>
        <w:rPr>
          <w:rFonts w:ascii="黑体" w:eastAsia="黑体"/>
          <w:b/>
          <w:sz w:val="32"/>
          <w:szCs w:val="32"/>
          <w:lang w:eastAsia="zh-CN"/>
        </w:rPr>
        <w:t>（一）一般公共预算财政拨款支出决算总体情况</w:t>
      </w:r>
    </w:p>
    <w:p w14:paraId="0D3F181C">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2024年度一般公共预算财政拨款支出105.28万元，占本年支出合计的100.00%。与上年相比，减少4.02万元，下降3.68%，主要原因是：</w:t>
      </w:r>
      <w:r>
        <w:rPr>
          <w:rFonts w:hint="eastAsia" w:ascii="仿宋_GB2312" w:eastAsia="仿宋_GB2312"/>
          <w:sz w:val="32"/>
          <w:szCs w:val="32"/>
          <w:lang w:eastAsia="zh-CN"/>
        </w:rPr>
        <w:t>单位年初在职人员减少，年末新进职工职级低，工资、津贴补贴、奖金等人员经费减少。</w:t>
      </w:r>
      <w:r>
        <w:rPr>
          <w:rFonts w:ascii="仿宋_GB2312" w:eastAsia="仿宋_GB2312"/>
          <w:sz w:val="32"/>
          <w:szCs w:val="32"/>
          <w:lang w:eastAsia="zh-CN"/>
        </w:rPr>
        <w:t>与年初预算相比，年初预算数96.65万元，决算数105.28万元，预决算差异率8.93%，主要原因是：</w:t>
      </w:r>
      <w:r>
        <w:rPr>
          <w:rFonts w:hint="eastAsia" w:ascii="仿宋_GB2312" w:eastAsia="仿宋_GB2312"/>
          <w:sz w:val="32"/>
          <w:szCs w:val="32"/>
          <w:lang w:eastAsia="zh-CN"/>
        </w:rPr>
        <w:t>年中追加基本工资、津贴补贴、奖金等人员经费</w:t>
      </w:r>
      <w:r>
        <w:rPr>
          <w:rFonts w:ascii="仿宋_GB2312" w:eastAsia="仿宋_GB2312"/>
          <w:sz w:val="32"/>
          <w:szCs w:val="32"/>
          <w:lang w:eastAsia="zh-CN"/>
        </w:rPr>
        <w:t>。</w:t>
      </w:r>
    </w:p>
    <w:p w14:paraId="488CA511">
      <w:pPr>
        <w:spacing w:after="0" w:line="240" w:lineRule="auto"/>
        <w:ind w:firstLine="643" w:firstLineChars="200"/>
        <w:jc w:val="both"/>
        <w:rPr>
          <w:rFonts w:hint="eastAsia" w:ascii="黑体" w:eastAsia="黑体"/>
          <w:sz w:val="32"/>
          <w:szCs w:val="32"/>
          <w:lang w:eastAsia="zh-CN"/>
        </w:rPr>
      </w:pPr>
      <w:r>
        <w:rPr>
          <w:rFonts w:ascii="黑体" w:eastAsia="黑体"/>
          <w:b/>
          <w:sz w:val="32"/>
          <w:szCs w:val="32"/>
          <w:lang w:eastAsia="zh-CN"/>
        </w:rPr>
        <w:t>（二）一般公共预算财政拨款支出决算结构情况</w:t>
      </w:r>
    </w:p>
    <w:p w14:paraId="56A5652A">
      <w:pPr>
        <w:spacing w:after="0" w:line="240" w:lineRule="auto"/>
        <w:ind w:firstLine="640" w:firstLineChars="200"/>
        <w:jc w:val="both"/>
        <w:rPr>
          <w:rFonts w:hint="eastAsia" w:ascii="仿宋_GB2312" w:eastAsia="仿宋_GB2312"/>
          <w:sz w:val="32"/>
          <w:szCs w:val="32"/>
          <w:lang w:eastAsia="zh-CN"/>
        </w:rPr>
      </w:pPr>
      <w:r>
        <w:rPr>
          <w:rFonts w:hint="eastAsia" w:ascii="仿宋_GB2312" w:eastAsia="仿宋_GB2312"/>
          <w:sz w:val="32"/>
          <w:szCs w:val="32"/>
          <w:lang w:eastAsia="zh-CN"/>
        </w:rPr>
        <w:t>1.</w:t>
      </w:r>
      <w:r>
        <w:rPr>
          <w:rFonts w:ascii="仿宋_GB2312" w:eastAsia="仿宋_GB2312"/>
          <w:sz w:val="32"/>
          <w:szCs w:val="32"/>
          <w:lang w:eastAsia="zh-CN"/>
        </w:rPr>
        <w:t>社会保障和就业支出（类）92.95万元，占88.29%。</w:t>
      </w:r>
    </w:p>
    <w:p w14:paraId="2226F1AC">
      <w:pPr>
        <w:spacing w:after="0" w:line="240" w:lineRule="auto"/>
        <w:ind w:firstLine="640" w:firstLineChars="200"/>
        <w:jc w:val="both"/>
        <w:rPr>
          <w:rFonts w:hint="eastAsia" w:ascii="仿宋_GB2312" w:eastAsia="仿宋_GB2312"/>
          <w:sz w:val="32"/>
          <w:szCs w:val="32"/>
          <w:lang w:eastAsia="zh-CN"/>
        </w:rPr>
      </w:pPr>
      <w:r>
        <w:rPr>
          <w:rFonts w:hint="eastAsia" w:ascii="仿宋_GB2312" w:eastAsia="仿宋_GB2312"/>
          <w:sz w:val="32"/>
          <w:szCs w:val="32"/>
          <w:lang w:eastAsia="zh-CN"/>
        </w:rPr>
        <w:t>2.</w:t>
      </w:r>
      <w:r>
        <w:rPr>
          <w:rFonts w:ascii="仿宋_GB2312" w:eastAsia="仿宋_GB2312"/>
          <w:sz w:val="32"/>
          <w:szCs w:val="32"/>
          <w:lang w:eastAsia="zh-CN"/>
        </w:rPr>
        <w:t>卫生健康支出（类）5.69万元，占5.40%。</w:t>
      </w:r>
    </w:p>
    <w:p w14:paraId="4B121F29">
      <w:pPr>
        <w:spacing w:after="0" w:line="240" w:lineRule="auto"/>
        <w:ind w:firstLine="640" w:firstLineChars="200"/>
        <w:jc w:val="both"/>
        <w:rPr>
          <w:rFonts w:hint="eastAsia" w:ascii="仿宋_GB2312" w:eastAsia="仿宋_GB2312"/>
          <w:sz w:val="32"/>
          <w:szCs w:val="32"/>
          <w:lang w:eastAsia="zh-CN"/>
        </w:rPr>
      </w:pPr>
      <w:r>
        <w:rPr>
          <w:rFonts w:hint="eastAsia" w:ascii="仿宋_GB2312" w:eastAsia="仿宋_GB2312"/>
          <w:sz w:val="32"/>
          <w:szCs w:val="32"/>
          <w:lang w:eastAsia="zh-CN"/>
        </w:rPr>
        <w:t>3.</w:t>
      </w:r>
      <w:r>
        <w:rPr>
          <w:rFonts w:ascii="仿宋_GB2312" w:eastAsia="仿宋_GB2312"/>
          <w:sz w:val="32"/>
          <w:szCs w:val="32"/>
          <w:lang w:eastAsia="zh-CN"/>
        </w:rPr>
        <w:t>住房保障支出（类）6.64万元，占6.31%。</w:t>
      </w:r>
    </w:p>
    <w:p w14:paraId="11425345">
      <w:pPr>
        <w:spacing w:after="0" w:line="240" w:lineRule="auto"/>
        <w:ind w:firstLine="643" w:firstLineChars="200"/>
        <w:outlineLvl w:val="2"/>
        <w:rPr>
          <w:rFonts w:hint="eastAsia" w:ascii="黑体" w:eastAsia="黑体"/>
          <w:sz w:val="32"/>
          <w:szCs w:val="32"/>
          <w:lang w:eastAsia="zh-CN"/>
        </w:rPr>
      </w:pPr>
      <w:r>
        <w:rPr>
          <w:rFonts w:ascii="黑体" w:eastAsia="黑体"/>
          <w:b/>
          <w:sz w:val="32"/>
          <w:szCs w:val="32"/>
          <w:lang w:eastAsia="zh-CN"/>
        </w:rPr>
        <w:t>（三）一般公共预算财政拨款支出决算具体情况</w:t>
      </w:r>
    </w:p>
    <w:p w14:paraId="38813CB5">
      <w:pPr>
        <w:spacing w:after="0" w:line="240" w:lineRule="auto"/>
        <w:ind w:firstLine="640" w:firstLineChars="200"/>
        <w:rPr>
          <w:rFonts w:hint="eastAsia" w:ascii="仿宋_GB2312" w:eastAsia="仿宋_GB2312"/>
          <w:sz w:val="32"/>
          <w:szCs w:val="32"/>
          <w:lang w:eastAsia="zh-CN"/>
        </w:rPr>
      </w:pPr>
      <w:r>
        <w:rPr>
          <w:rFonts w:ascii="仿宋_GB2312" w:eastAsia="仿宋_GB2312"/>
          <w:sz w:val="32"/>
          <w:szCs w:val="32"/>
          <w:lang w:eastAsia="zh-CN"/>
        </w:rPr>
        <w:t>1、社会保障和就业支出（类）行政事业单位养老支出（款）机关事业单位基本养老保险缴费支出（项）：支出决算数为8.63万元，比上年决算减少0.81万元，下降8.58%，主要原因是：</w:t>
      </w:r>
      <w:r>
        <w:rPr>
          <w:rFonts w:hint="eastAsia" w:ascii="仿宋_GB2312" w:eastAsia="仿宋_GB2312"/>
          <w:sz w:val="32"/>
          <w:szCs w:val="32"/>
          <w:lang w:eastAsia="zh-CN"/>
        </w:rPr>
        <w:t>单位年初在职人员减少，年末新进职工职级低，</w:t>
      </w:r>
      <w:r>
        <w:rPr>
          <w:rFonts w:ascii="仿宋_GB2312" w:eastAsia="仿宋_GB2312"/>
          <w:sz w:val="32"/>
          <w:szCs w:val="32"/>
          <w:lang w:eastAsia="zh-CN"/>
        </w:rPr>
        <w:t>基本养老保险缴费</w:t>
      </w:r>
      <w:r>
        <w:rPr>
          <w:rFonts w:hint="eastAsia" w:ascii="仿宋_GB2312" w:eastAsia="仿宋_GB2312"/>
          <w:sz w:val="32"/>
          <w:szCs w:val="32"/>
          <w:lang w:eastAsia="zh-CN"/>
        </w:rPr>
        <w:t>支出</w:t>
      </w:r>
      <w:r>
        <w:rPr>
          <w:rFonts w:ascii="仿宋_GB2312" w:eastAsia="仿宋_GB2312"/>
          <w:sz w:val="32"/>
          <w:szCs w:val="32"/>
          <w:lang w:eastAsia="zh-CN"/>
        </w:rPr>
        <w:t>减少。</w:t>
      </w:r>
    </w:p>
    <w:p w14:paraId="5102BFE6">
      <w:pPr>
        <w:spacing w:after="0" w:line="240" w:lineRule="auto"/>
        <w:ind w:firstLine="640" w:firstLineChars="200"/>
        <w:rPr>
          <w:rFonts w:hint="eastAsia" w:ascii="仿宋_GB2312" w:eastAsia="仿宋_GB2312"/>
          <w:sz w:val="32"/>
          <w:szCs w:val="32"/>
          <w:lang w:eastAsia="zh-CN"/>
        </w:rPr>
      </w:pPr>
      <w:r>
        <w:rPr>
          <w:rFonts w:ascii="仿宋_GB2312" w:eastAsia="仿宋_GB2312"/>
          <w:sz w:val="32"/>
          <w:szCs w:val="32"/>
          <w:lang w:eastAsia="zh-CN"/>
        </w:rPr>
        <w:t>2、社会保障和就业支出（类）行政事业单位养老支出（款）机关事业单位职业年金缴费支出（项）：支出决算数为15.64万元，比上年决算增加9.06万元，增长137.69%，主要原因是：本年</w:t>
      </w:r>
      <w:r>
        <w:rPr>
          <w:rFonts w:hint="eastAsia" w:ascii="仿宋_GB2312" w:eastAsia="仿宋_GB2312"/>
          <w:sz w:val="32"/>
          <w:szCs w:val="32"/>
          <w:lang w:eastAsia="zh-CN"/>
        </w:rPr>
        <w:t>单位新增退休人员，一次性发放职业年金增加</w:t>
      </w:r>
      <w:r>
        <w:rPr>
          <w:rFonts w:ascii="仿宋_GB2312" w:eastAsia="仿宋_GB2312"/>
          <w:sz w:val="32"/>
          <w:szCs w:val="32"/>
          <w:lang w:eastAsia="zh-CN"/>
        </w:rPr>
        <w:t>。</w:t>
      </w:r>
    </w:p>
    <w:p w14:paraId="7188B3B7">
      <w:pPr>
        <w:spacing w:after="0" w:line="240" w:lineRule="auto"/>
        <w:ind w:firstLine="640" w:firstLineChars="200"/>
        <w:rPr>
          <w:rFonts w:hint="eastAsia" w:ascii="仿宋_GB2312" w:eastAsia="仿宋_GB2312"/>
          <w:sz w:val="32"/>
          <w:szCs w:val="32"/>
          <w:lang w:eastAsia="zh-CN"/>
        </w:rPr>
      </w:pPr>
      <w:r>
        <w:rPr>
          <w:rFonts w:ascii="仿宋_GB2312" w:eastAsia="仿宋_GB2312"/>
          <w:sz w:val="32"/>
          <w:szCs w:val="32"/>
          <w:lang w:eastAsia="zh-CN"/>
        </w:rPr>
        <w:t>3、社会保障和就业支出（类）红十字事业（款）行政运行（项）：支出决算数为68.68万元，比上年决算减少4.73万元，下降6.44%，主要原因是：</w:t>
      </w:r>
      <w:r>
        <w:rPr>
          <w:rFonts w:hint="eastAsia" w:ascii="仿宋_GB2312" w:eastAsia="仿宋_GB2312"/>
          <w:sz w:val="32"/>
          <w:szCs w:val="32"/>
          <w:lang w:eastAsia="zh-CN"/>
        </w:rPr>
        <w:t>单位年初在职人员减少，年末新进职工职级低，基本工资、津贴补贴、奖金等人员经费减少</w:t>
      </w:r>
      <w:r>
        <w:rPr>
          <w:rFonts w:ascii="仿宋_GB2312" w:eastAsia="仿宋_GB2312"/>
          <w:sz w:val="32"/>
          <w:szCs w:val="32"/>
          <w:lang w:eastAsia="zh-CN"/>
        </w:rPr>
        <w:t>。</w:t>
      </w:r>
    </w:p>
    <w:p w14:paraId="24637987">
      <w:pPr>
        <w:spacing w:after="0" w:line="240" w:lineRule="auto"/>
        <w:ind w:firstLine="640" w:firstLineChars="200"/>
        <w:rPr>
          <w:rFonts w:hint="eastAsia" w:ascii="仿宋_GB2312" w:eastAsia="仿宋_GB2312"/>
          <w:sz w:val="32"/>
          <w:szCs w:val="32"/>
          <w:lang w:eastAsia="zh-CN"/>
        </w:rPr>
      </w:pPr>
      <w:r>
        <w:rPr>
          <w:rFonts w:ascii="仿宋_GB2312" w:eastAsia="仿宋_GB2312"/>
          <w:sz w:val="32"/>
          <w:szCs w:val="32"/>
          <w:lang w:eastAsia="zh-CN"/>
        </w:rPr>
        <w:t>4、卫生健康支出（类）行政事业单位医疗（款）行政单位医疗（项）：支出决算数为5.13万元，比上年决算减少0.48万元，下降8.56%，主要原因是：</w:t>
      </w:r>
      <w:r>
        <w:rPr>
          <w:rFonts w:hint="eastAsia" w:ascii="仿宋_GB2312" w:eastAsia="仿宋_GB2312"/>
          <w:sz w:val="32"/>
          <w:szCs w:val="32"/>
          <w:lang w:eastAsia="zh-CN"/>
        </w:rPr>
        <w:t>单位年初在职人员减少，年末新进职工职级低</w:t>
      </w:r>
      <w:r>
        <w:rPr>
          <w:rFonts w:ascii="仿宋_GB2312" w:eastAsia="仿宋_GB2312"/>
          <w:sz w:val="32"/>
          <w:szCs w:val="32"/>
          <w:lang w:eastAsia="zh-CN"/>
        </w:rPr>
        <w:t>，</w:t>
      </w:r>
      <w:r>
        <w:rPr>
          <w:rFonts w:hint="eastAsia" w:ascii="仿宋_GB2312" w:eastAsia="仿宋_GB2312"/>
          <w:sz w:val="32"/>
          <w:szCs w:val="32"/>
          <w:lang w:eastAsia="zh-CN"/>
        </w:rPr>
        <w:t>职工基本医疗保险缴费支出减少</w:t>
      </w:r>
      <w:r>
        <w:rPr>
          <w:rFonts w:ascii="仿宋_GB2312" w:eastAsia="仿宋_GB2312"/>
          <w:sz w:val="32"/>
          <w:szCs w:val="32"/>
          <w:lang w:eastAsia="zh-CN"/>
        </w:rPr>
        <w:t>。</w:t>
      </w:r>
    </w:p>
    <w:p w14:paraId="173A083D">
      <w:pPr>
        <w:spacing w:after="0" w:line="240" w:lineRule="auto"/>
        <w:ind w:firstLine="640" w:firstLineChars="200"/>
        <w:rPr>
          <w:rFonts w:hint="eastAsia" w:ascii="仿宋_GB2312" w:eastAsia="仿宋_GB2312"/>
          <w:sz w:val="32"/>
          <w:szCs w:val="32"/>
          <w:lang w:eastAsia="zh-CN"/>
        </w:rPr>
      </w:pPr>
      <w:r>
        <w:rPr>
          <w:rFonts w:ascii="仿宋_GB2312" w:eastAsia="仿宋_GB2312"/>
          <w:sz w:val="32"/>
          <w:szCs w:val="32"/>
          <w:lang w:eastAsia="zh-CN"/>
        </w:rPr>
        <w:t>5、卫生健康支出（类）行政事业单位医疗（款）公务员医疗补助（项）：支出决算数为0.54万元，比上年决算减少0.05万元，下降8.47%，主要原因是：</w:t>
      </w:r>
      <w:r>
        <w:rPr>
          <w:rFonts w:hint="eastAsia" w:ascii="仿宋_GB2312" w:eastAsia="仿宋_GB2312"/>
          <w:sz w:val="32"/>
          <w:szCs w:val="32"/>
          <w:lang w:eastAsia="zh-CN"/>
        </w:rPr>
        <w:t>单位年初在职人员减少，年末新进职工职级低，医疗保险缴费支出减少。</w:t>
      </w:r>
    </w:p>
    <w:p w14:paraId="285AB79F">
      <w:pPr>
        <w:spacing w:after="0" w:line="240" w:lineRule="auto"/>
        <w:ind w:firstLine="640" w:firstLineChars="200"/>
        <w:rPr>
          <w:rFonts w:hint="eastAsia" w:ascii="仿宋_GB2312" w:eastAsia="仿宋_GB2312"/>
          <w:sz w:val="32"/>
          <w:szCs w:val="32"/>
          <w:lang w:eastAsia="zh-CN"/>
        </w:rPr>
      </w:pPr>
      <w:r>
        <w:rPr>
          <w:rFonts w:ascii="仿宋_GB2312" w:eastAsia="仿宋_GB2312"/>
          <w:sz w:val="32"/>
          <w:szCs w:val="32"/>
          <w:lang w:eastAsia="zh-CN"/>
        </w:rPr>
        <w:t>6、卫生健康支出（类）行政事业单位医疗（款）其他行政事业单位医疗支出（项）：支出决算数为0.03万元，与上年相比无变化，主要原因是：</w:t>
      </w:r>
      <w:r>
        <w:rPr>
          <w:rFonts w:hint="eastAsia" w:ascii="仿宋_GB2312" w:eastAsia="仿宋_GB2312"/>
          <w:sz w:val="32"/>
          <w:szCs w:val="32"/>
          <w:lang w:val="en-US" w:eastAsia="zh-CN"/>
        </w:rPr>
        <w:t>大病医疗缴费</w:t>
      </w:r>
      <w:r>
        <w:rPr>
          <w:rFonts w:hint="eastAsia" w:ascii="仿宋_GB2312" w:eastAsia="仿宋_GB2312"/>
          <w:sz w:val="32"/>
          <w:szCs w:val="32"/>
          <w:lang w:eastAsia="zh-CN"/>
        </w:rPr>
        <w:t>与上年一致无变化。</w:t>
      </w:r>
    </w:p>
    <w:p w14:paraId="3B430FBA">
      <w:pPr>
        <w:spacing w:after="0" w:line="240" w:lineRule="auto"/>
        <w:ind w:firstLine="640" w:firstLineChars="200"/>
        <w:rPr>
          <w:rFonts w:hint="eastAsia" w:ascii="仿宋_GB2312" w:eastAsia="仿宋_GB2312"/>
          <w:sz w:val="32"/>
          <w:szCs w:val="32"/>
          <w:lang w:eastAsia="zh-CN"/>
        </w:rPr>
      </w:pPr>
      <w:r>
        <w:rPr>
          <w:rFonts w:ascii="仿宋_GB2312" w:eastAsia="仿宋_GB2312"/>
          <w:sz w:val="32"/>
          <w:szCs w:val="32"/>
          <w:lang w:eastAsia="zh-CN"/>
        </w:rPr>
        <w:t>7、住房保障支出（类）住房改革支出（款）住房公积金（项）：支出决算数为6.64万元，比上年决算减少0.50万元，下降7.00%，</w:t>
      </w:r>
      <w:bookmarkStart w:id="0" w:name="_GoBack"/>
      <w:bookmarkEnd w:id="0"/>
      <w:r>
        <w:rPr>
          <w:rFonts w:ascii="仿宋_GB2312" w:eastAsia="仿宋_GB2312"/>
          <w:sz w:val="32"/>
          <w:szCs w:val="32"/>
          <w:lang w:eastAsia="zh-CN"/>
        </w:rPr>
        <w:t>主要原因是：</w:t>
      </w:r>
      <w:r>
        <w:rPr>
          <w:rFonts w:hint="eastAsia" w:ascii="仿宋_GB2312" w:eastAsia="仿宋_GB2312"/>
          <w:sz w:val="32"/>
          <w:szCs w:val="32"/>
          <w:lang w:eastAsia="zh-CN"/>
        </w:rPr>
        <w:t>单位年初在职人员减少，年末新进职工职级低，</w:t>
      </w:r>
      <w:r>
        <w:rPr>
          <w:rFonts w:ascii="仿宋_GB2312" w:eastAsia="仿宋_GB2312"/>
          <w:sz w:val="32"/>
          <w:szCs w:val="32"/>
          <w:lang w:eastAsia="zh-CN"/>
        </w:rPr>
        <w:t>住房公积金缴费</w:t>
      </w:r>
      <w:r>
        <w:rPr>
          <w:rFonts w:hint="eastAsia" w:ascii="仿宋_GB2312" w:eastAsia="仿宋_GB2312"/>
          <w:sz w:val="32"/>
          <w:szCs w:val="32"/>
          <w:lang w:eastAsia="zh-CN"/>
        </w:rPr>
        <w:t>支出</w:t>
      </w:r>
      <w:r>
        <w:rPr>
          <w:rFonts w:ascii="仿宋_GB2312" w:eastAsia="仿宋_GB2312"/>
          <w:sz w:val="32"/>
          <w:szCs w:val="32"/>
          <w:lang w:eastAsia="zh-CN"/>
        </w:rPr>
        <w:t>减少。</w:t>
      </w:r>
    </w:p>
    <w:p w14:paraId="16BF188E">
      <w:pPr>
        <w:spacing w:after="0" w:line="240" w:lineRule="auto"/>
        <w:ind w:firstLine="640" w:firstLineChars="200"/>
        <w:rPr>
          <w:rFonts w:hint="eastAsia" w:ascii="仿宋_GB2312" w:eastAsia="仿宋_GB2312"/>
          <w:sz w:val="32"/>
          <w:szCs w:val="32"/>
          <w:lang w:eastAsia="zh-CN"/>
        </w:rPr>
      </w:pPr>
      <w:r>
        <w:rPr>
          <w:rFonts w:ascii="仿宋_GB2312" w:eastAsia="仿宋_GB2312"/>
          <w:sz w:val="32"/>
          <w:szCs w:val="32"/>
          <w:lang w:eastAsia="zh-CN"/>
        </w:rPr>
        <w:t>8、其他支出（类）其他支出（款）其他支出（项）：支出决算数为0.00万元，比上年决算减少6.50万元，下降100.00%，主要原因是：本年度</w:t>
      </w:r>
      <w:r>
        <w:rPr>
          <w:rFonts w:hint="eastAsia" w:ascii="仿宋_GB2312" w:eastAsia="仿宋_GB2312"/>
          <w:sz w:val="32"/>
          <w:szCs w:val="32"/>
          <w:lang w:eastAsia="zh-CN"/>
        </w:rPr>
        <w:t>减少为民办实事工作项目经费</w:t>
      </w:r>
      <w:r>
        <w:rPr>
          <w:rFonts w:ascii="仿宋_GB2312" w:eastAsia="仿宋_GB2312"/>
          <w:sz w:val="32"/>
          <w:szCs w:val="32"/>
          <w:lang w:eastAsia="zh-CN"/>
        </w:rPr>
        <w:t>。</w:t>
      </w:r>
    </w:p>
    <w:p w14:paraId="3C1DCC17">
      <w:pPr>
        <w:spacing w:after="0" w:line="240" w:lineRule="auto"/>
        <w:ind w:firstLine="640" w:firstLineChars="200"/>
        <w:outlineLvl w:val="1"/>
        <w:rPr>
          <w:rFonts w:hint="eastAsia" w:ascii="黑体" w:eastAsia="黑体"/>
          <w:sz w:val="32"/>
          <w:szCs w:val="32"/>
          <w:lang w:eastAsia="zh-CN"/>
        </w:rPr>
      </w:pPr>
      <w:r>
        <w:rPr>
          <w:rFonts w:ascii="黑体" w:eastAsia="黑体"/>
          <w:sz w:val="32"/>
          <w:szCs w:val="32"/>
          <w:lang w:eastAsia="zh-CN"/>
        </w:rPr>
        <w:t>六、一般公共预算财政拨款基本支出决算情况说明</w:t>
      </w:r>
    </w:p>
    <w:p w14:paraId="5E2B534A">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2024年度一般公共预算财政拨款基本支出105.28万元，其中：人员经费100.96万元，包括：基本工资、津贴补贴、奖金、机关事业单位基本养老保险缴费、职业年金缴费、职工基本医疗保险缴费、公务员医疗补助缴费、其他社会保障缴费、住房公积金、医疗费、退休费和奖励金。</w:t>
      </w:r>
    </w:p>
    <w:p w14:paraId="3F271BEB">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公用经费4.32万元，包括：办公费、印刷费、咨询费、手续费、水费、电费、邮电费、物业管理费、差旅费、公务用车运行维护费和其他交通费用。</w:t>
      </w:r>
    </w:p>
    <w:p w14:paraId="5A66DEA3">
      <w:pPr>
        <w:spacing w:after="0" w:line="240" w:lineRule="auto"/>
        <w:ind w:firstLine="640" w:firstLineChars="200"/>
        <w:outlineLvl w:val="1"/>
        <w:rPr>
          <w:rFonts w:hint="eastAsia" w:ascii="黑体" w:eastAsia="黑体"/>
          <w:sz w:val="32"/>
          <w:szCs w:val="32"/>
          <w:lang w:eastAsia="zh-CN"/>
        </w:rPr>
      </w:pPr>
      <w:r>
        <w:rPr>
          <w:rFonts w:ascii="黑体" w:eastAsia="黑体"/>
          <w:sz w:val="32"/>
          <w:szCs w:val="32"/>
          <w:lang w:eastAsia="zh-CN"/>
        </w:rPr>
        <w:t>七、政府性基金预算财政拨款收入支出决算情况说明</w:t>
      </w:r>
    </w:p>
    <w:p w14:paraId="3777EC01">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本单位本年度无政府性基金预算财政拨款收入、支出及结转和结余，政府性基金预算财政拨款收入支出决算表为空表。</w:t>
      </w:r>
    </w:p>
    <w:p w14:paraId="0EA5C592">
      <w:pPr>
        <w:spacing w:after="0" w:line="240" w:lineRule="auto"/>
        <w:ind w:firstLine="640" w:firstLineChars="200"/>
        <w:outlineLvl w:val="1"/>
        <w:rPr>
          <w:rFonts w:hint="eastAsia" w:ascii="黑体" w:eastAsia="黑体"/>
          <w:sz w:val="32"/>
          <w:szCs w:val="32"/>
          <w:lang w:eastAsia="zh-CN"/>
        </w:rPr>
      </w:pPr>
      <w:r>
        <w:rPr>
          <w:rFonts w:ascii="黑体" w:eastAsia="黑体"/>
          <w:sz w:val="32"/>
          <w:szCs w:val="32"/>
          <w:lang w:eastAsia="zh-CN"/>
        </w:rPr>
        <w:t>八、国有资本经营预算财政拨款收入支出决算情况说明</w:t>
      </w:r>
    </w:p>
    <w:p w14:paraId="08993867">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本单位本年度无国有资本经营预算财政拨款收入、支出及结转和结余，国有资本经营预算财政拨款收入支出决算表为空表。</w:t>
      </w:r>
    </w:p>
    <w:p w14:paraId="79156A08">
      <w:pPr>
        <w:spacing w:after="0" w:line="240" w:lineRule="auto"/>
        <w:ind w:firstLine="640" w:firstLineChars="200"/>
        <w:outlineLvl w:val="1"/>
        <w:rPr>
          <w:rFonts w:hint="eastAsia" w:ascii="黑体" w:eastAsia="黑体"/>
          <w:sz w:val="32"/>
          <w:szCs w:val="32"/>
          <w:lang w:eastAsia="zh-CN"/>
        </w:rPr>
      </w:pPr>
      <w:r>
        <w:rPr>
          <w:rFonts w:ascii="黑体" w:eastAsia="黑体"/>
          <w:sz w:val="32"/>
          <w:szCs w:val="32"/>
          <w:lang w:eastAsia="zh-CN"/>
        </w:rPr>
        <w:t>九、财政拨款“三公”经费支出决算情况说明</w:t>
      </w:r>
    </w:p>
    <w:p w14:paraId="4591B1F6">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2024年度财政拨款“三公”经费支出0.87万元，比上年减少0.41万元，下降32.03%，主要原因是：</w:t>
      </w:r>
      <w:r>
        <w:rPr>
          <w:rFonts w:hint="eastAsia" w:ascii="仿宋_GB2312" w:eastAsia="仿宋_GB2312"/>
          <w:sz w:val="32"/>
          <w:szCs w:val="32"/>
          <w:lang w:eastAsia="zh-CN"/>
        </w:rPr>
        <w:t>我单位减少公务用车出行次数，</w:t>
      </w:r>
      <w:r>
        <w:rPr>
          <w:rFonts w:ascii="仿宋_GB2312" w:eastAsia="仿宋_GB2312"/>
          <w:sz w:val="32"/>
          <w:szCs w:val="32"/>
          <w:lang w:eastAsia="zh-CN"/>
        </w:rPr>
        <w:t>车辆维修费、保险费及</w:t>
      </w:r>
      <w:r>
        <w:rPr>
          <w:rFonts w:hint="eastAsia" w:ascii="仿宋_GB2312" w:eastAsia="仿宋_GB2312"/>
          <w:sz w:val="32"/>
          <w:szCs w:val="32"/>
          <w:lang w:eastAsia="zh-CN"/>
        </w:rPr>
        <w:t>燃油费减少</w:t>
      </w:r>
      <w:r>
        <w:rPr>
          <w:rFonts w:ascii="仿宋_GB2312" w:eastAsia="仿宋_GB2312"/>
          <w:sz w:val="32"/>
          <w:szCs w:val="32"/>
          <w:lang w:eastAsia="zh-CN"/>
        </w:rPr>
        <w:t>。其中：因公出国（境）费支出0.00万元,占0.00%，与上年相比无变化，主要原因是：</w:t>
      </w:r>
      <w:r>
        <w:rPr>
          <w:rFonts w:hint="eastAsia" w:ascii="仿宋_GB2312" w:eastAsia="仿宋_GB2312"/>
          <w:sz w:val="32"/>
          <w:szCs w:val="32"/>
          <w:lang w:eastAsia="zh-CN"/>
        </w:rPr>
        <w:t>我单位上年度与本年度均无</w:t>
      </w:r>
      <w:r>
        <w:rPr>
          <w:rFonts w:ascii="仿宋_GB2312" w:eastAsia="仿宋_GB2312"/>
          <w:sz w:val="32"/>
          <w:szCs w:val="32"/>
          <w:lang w:eastAsia="zh-CN"/>
        </w:rPr>
        <w:t>因公出国（境）费；公务用车购置及运行维护费支出0.87万元，占100.00%，比上年减少0.41万元，下降32.03%，主要原因是：</w:t>
      </w:r>
      <w:r>
        <w:rPr>
          <w:rFonts w:hint="eastAsia" w:ascii="仿宋_GB2312" w:eastAsia="仿宋_GB2312"/>
          <w:sz w:val="32"/>
          <w:szCs w:val="32"/>
          <w:lang w:eastAsia="zh-CN"/>
        </w:rPr>
        <w:t>我单位减少公务用车出行次数，</w:t>
      </w:r>
      <w:r>
        <w:rPr>
          <w:rFonts w:ascii="仿宋_GB2312" w:eastAsia="仿宋_GB2312"/>
          <w:sz w:val="32"/>
          <w:szCs w:val="32"/>
          <w:lang w:eastAsia="zh-CN"/>
        </w:rPr>
        <w:t>车辆维修费、保险费及</w:t>
      </w:r>
      <w:r>
        <w:rPr>
          <w:rFonts w:hint="eastAsia" w:ascii="仿宋_GB2312" w:eastAsia="仿宋_GB2312"/>
          <w:sz w:val="32"/>
          <w:szCs w:val="32"/>
          <w:lang w:eastAsia="zh-CN"/>
        </w:rPr>
        <w:t>燃油费减少</w:t>
      </w:r>
      <w:r>
        <w:rPr>
          <w:rFonts w:ascii="仿宋_GB2312" w:eastAsia="仿宋_GB2312"/>
          <w:sz w:val="32"/>
          <w:szCs w:val="32"/>
          <w:lang w:eastAsia="zh-CN"/>
        </w:rPr>
        <w:t>；公务接待费支出0.00万元，占0.00%，与上年相比无变化，主要原因是：</w:t>
      </w:r>
      <w:r>
        <w:rPr>
          <w:rFonts w:hint="eastAsia" w:ascii="仿宋_GB2312" w:eastAsia="仿宋_GB2312"/>
          <w:sz w:val="32"/>
          <w:szCs w:val="32"/>
          <w:lang w:eastAsia="zh-CN"/>
        </w:rPr>
        <w:t>我单位上年度与本年度均无公务接待费</w:t>
      </w:r>
      <w:r>
        <w:rPr>
          <w:rFonts w:ascii="仿宋_GB2312" w:eastAsia="仿宋_GB2312"/>
          <w:sz w:val="32"/>
          <w:szCs w:val="32"/>
          <w:lang w:eastAsia="zh-CN"/>
        </w:rPr>
        <w:t>。</w:t>
      </w:r>
    </w:p>
    <w:p w14:paraId="01650A5B">
      <w:pPr>
        <w:spacing w:after="0" w:line="240" w:lineRule="auto"/>
        <w:ind w:firstLine="640" w:firstLineChars="200"/>
        <w:rPr>
          <w:rFonts w:hint="eastAsia" w:ascii="仿宋_GB2312" w:eastAsia="仿宋_GB2312"/>
          <w:sz w:val="32"/>
          <w:szCs w:val="32"/>
          <w:lang w:eastAsia="zh-CN"/>
        </w:rPr>
      </w:pPr>
      <w:r>
        <w:rPr>
          <w:rFonts w:ascii="仿宋_GB2312" w:eastAsia="仿宋_GB2312"/>
          <w:sz w:val="32"/>
          <w:szCs w:val="32"/>
          <w:lang w:eastAsia="zh-CN"/>
        </w:rPr>
        <w:t>具体情况如下：</w:t>
      </w:r>
    </w:p>
    <w:p w14:paraId="1C4AEC53">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因公出国（境）费支出0.00万元，开支内容包括</w:t>
      </w:r>
      <w:r>
        <w:rPr>
          <w:rFonts w:hint="eastAsia" w:ascii="仿宋_GB2312" w:eastAsia="仿宋_GB2312"/>
          <w:sz w:val="32"/>
          <w:szCs w:val="32"/>
          <w:lang w:eastAsia="zh-CN"/>
        </w:rPr>
        <w:t>我单位无</w:t>
      </w:r>
      <w:r>
        <w:rPr>
          <w:rFonts w:ascii="仿宋_GB2312" w:eastAsia="仿宋_GB2312"/>
          <w:sz w:val="32"/>
          <w:szCs w:val="32"/>
          <w:lang w:eastAsia="zh-CN"/>
        </w:rPr>
        <w:t>因公出国（境）费。单位全年安排的因公出国（境）团组0个，因公出国（境）0人次。</w:t>
      </w:r>
    </w:p>
    <w:p w14:paraId="0158E687">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公务用车购置及运行维护费0.87万元，其中：公务用车购置费0.00万元，公务用车运行维护费0.87万元。公务用车运行维护费开支内容包括</w:t>
      </w:r>
      <w:r>
        <w:rPr>
          <w:rFonts w:hint="eastAsia" w:ascii="仿宋_GB2312" w:eastAsia="仿宋_GB2312"/>
          <w:sz w:val="32"/>
          <w:szCs w:val="32"/>
          <w:lang w:eastAsia="zh-CN"/>
        </w:rPr>
        <w:t>公务用车维修维护费、燃油费、保险费、过路费等</w:t>
      </w:r>
      <w:r>
        <w:rPr>
          <w:rFonts w:ascii="仿宋_GB2312" w:eastAsia="仿宋_GB2312"/>
          <w:sz w:val="32"/>
          <w:szCs w:val="32"/>
          <w:lang w:eastAsia="zh-CN"/>
        </w:rPr>
        <w:t>。公务用车购置数0辆，公务用车保有量1辆。国有资产占用情况中固定资产车辆1辆，与公务用车保有量差异原因是：本单位</w:t>
      </w:r>
      <w:r>
        <w:rPr>
          <w:rFonts w:hint="eastAsia" w:ascii="仿宋_GB2312" w:eastAsia="仿宋_GB2312"/>
          <w:sz w:val="32"/>
          <w:szCs w:val="32"/>
          <w:lang w:eastAsia="zh-CN"/>
        </w:rPr>
        <w:t>固定资产车辆与</w:t>
      </w:r>
      <w:r>
        <w:rPr>
          <w:rFonts w:ascii="仿宋_GB2312" w:eastAsia="仿宋_GB2312"/>
          <w:sz w:val="32"/>
          <w:szCs w:val="32"/>
          <w:lang w:eastAsia="zh-CN"/>
        </w:rPr>
        <w:t>公务用车保有量</w:t>
      </w:r>
      <w:r>
        <w:rPr>
          <w:rFonts w:hint="eastAsia" w:ascii="仿宋_GB2312" w:eastAsia="仿宋_GB2312"/>
          <w:sz w:val="32"/>
          <w:szCs w:val="32"/>
          <w:lang w:eastAsia="zh-CN"/>
        </w:rPr>
        <w:t>一致无差异</w:t>
      </w:r>
      <w:r>
        <w:rPr>
          <w:rFonts w:ascii="仿宋_GB2312" w:eastAsia="仿宋_GB2312"/>
          <w:sz w:val="32"/>
          <w:szCs w:val="32"/>
          <w:lang w:eastAsia="zh-CN"/>
        </w:rPr>
        <w:t>。</w:t>
      </w:r>
    </w:p>
    <w:p w14:paraId="4A9074C3">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公务接待费0.00万元，开支内容包括</w:t>
      </w:r>
      <w:r>
        <w:rPr>
          <w:rFonts w:hint="eastAsia" w:ascii="仿宋_GB2312" w:eastAsia="仿宋_GB2312"/>
          <w:sz w:val="32"/>
          <w:szCs w:val="32"/>
          <w:lang w:eastAsia="zh-CN"/>
        </w:rPr>
        <w:t>我单位无公务接待费</w:t>
      </w:r>
      <w:r>
        <w:rPr>
          <w:rFonts w:ascii="仿宋_GB2312" w:eastAsia="仿宋_GB2312"/>
          <w:sz w:val="32"/>
          <w:szCs w:val="32"/>
          <w:lang w:eastAsia="zh-CN"/>
        </w:rPr>
        <w:t>。单位全年安排的国内公务接待0批次，0人次。</w:t>
      </w:r>
    </w:p>
    <w:p w14:paraId="22DC4960">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与全年预算相比，财政拨款“三公”经费支出全年预算数2.60万元，决算数0.87万元，预决算差异率-66.54%，主要原因是：</w:t>
      </w:r>
      <w:r>
        <w:rPr>
          <w:rFonts w:hint="eastAsia" w:ascii="仿宋_GB2312" w:eastAsia="仿宋_GB2312"/>
          <w:sz w:val="32"/>
          <w:szCs w:val="32"/>
          <w:lang w:eastAsia="zh-CN"/>
        </w:rPr>
        <w:t>较预算减少</w:t>
      </w:r>
      <w:r>
        <w:rPr>
          <w:rFonts w:ascii="仿宋_GB2312" w:eastAsia="仿宋_GB2312"/>
          <w:sz w:val="32"/>
          <w:szCs w:val="32"/>
          <w:lang w:eastAsia="zh-CN"/>
        </w:rPr>
        <w:t>车辆维修费、保险费及</w:t>
      </w:r>
      <w:r>
        <w:rPr>
          <w:rFonts w:hint="eastAsia" w:ascii="仿宋_GB2312" w:eastAsia="仿宋_GB2312"/>
          <w:sz w:val="32"/>
          <w:szCs w:val="32"/>
          <w:lang w:eastAsia="zh-CN"/>
        </w:rPr>
        <w:t>燃油费</w:t>
      </w:r>
      <w:r>
        <w:rPr>
          <w:rFonts w:ascii="仿宋_GB2312" w:eastAsia="仿宋_GB2312"/>
          <w:sz w:val="32"/>
          <w:szCs w:val="32"/>
          <w:lang w:eastAsia="zh-CN"/>
        </w:rPr>
        <w:t>。其中：因公出国（境）费全年预算数0.00万元，决算数0.00万元，预决算差异率0.00%，主要原因是：</w:t>
      </w:r>
      <w:r>
        <w:rPr>
          <w:rFonts w:hint="eastAsia" w:ascii="仿宋_GB2312" w:eastAsia="仿宋_GB2312"/>
          <w:sz w:val="32"/>
          <w:szCs w:val="32"/>
          <w:lang w:eastAsia="zh-CN"/>
        </w:rPr>
        <w:t>严格按照预算执行，预决算对比无差异</w:t>
      </w:r>
      <w:r>
        <w:rPr>
          <w:rFonts w:ascii="仿宋_GB2312" w:eastAsia="仿宋_GB2312"/>
          <w:sz w:val="32"/>
          <w:szCs w:val="32"/>
          <w:lang w:eastAsia="zh-CN"/>
        </w:rPr>
        <w:t>；公务用车购置费全年预算数0.00万元，决算数0.00万元，预决算差异率0.00%，主要原因是：</w:t>
      </w:r>
      <w:r>
        <w:rPr>
          <w:rFonts w:hint="eastAsia" w:ascii="仿宋_GB2312" w:eastAsia="仿宋_GB2312"/>
          <w:sz w:val="32"/>
          <w:szCs w:val="32"/>
          <w:lang w:eastAsia="zh-CN"/>
        </w:rPr>
        <w:t>严格按照预算执行，预决算对比无差异</w:t>
      </w:r>
      <w:r>
        <w:rPr>
          <w:rFonts w:ascii="仿宋_GB2312" w:eastAsia="仿宋_GB2312"/>
          <w:sz w:val="32"/>
          <w:szCs w:val="32"/>
          <w:lang w:eastAsia="zh-CN"/>
        </w:rPr>
        <w:t>；公务用车运行维护费全年预算数2.60万元，决算数0.87万元，预决算差异率-66.54%，主要原因是：</w:t>
      </w:r>
      <w:r>
        <w:rPr>
          <w:rFonts w:hint="eastAsia" w:ascii="仿宋_GB2312" w:eastAsia="仿宋_GB2312"/>
          <w:sz w:val="32"/>
          <w:szCs w:val="32"/>
          <w:lang w:eastAsia="zh-CN"/>
        </w:rPr>
        <w:t>较预算减少</w:t>
      </w:r>
      <w:r>
        <w:rPr>
          <w:rFonts w:ascii="仿宋_GB2312" w:eastAsia="仿宋_GB2312"/>
          <w:sz w:val="32"/>
          <w:szCs w:val="32"/>
          <w:lang w:eastAsia="zh-CN"/>
        </w:rPr>
        <w:t>车辆维修费、保险费及</w:t>
      </w:r>
      <w:r>
        <w:rPr>
          <w:rFonts w:hint="eastAsia" w:ascii="仿宋_GB2312" w:eastAsia="仿宋_GB2312"/>
          <w:sz w:val="32"/>
          <w:szCs w:val="32"/>
          <w:lang w:eastAsia="zh-CN"/>
        </w:rPr>
        <w:t>燃油费</w:t>
      </w:r>
      <w:r>
        <w:rPr>
          <w:rFonts w:ascii="仿宋_GB2312" w:eastAsia="仿宋_GB2312"/>
          <w:sz w:val="32"/>
          <w:szCs w:val="32"/>
          <w:lang w:eastAsia="zh-CN"/>
        </w:rPr>
        <w:t>；公务接待费全年预算数0.00万元，决算数0.00万元，预决算差异率0.00%，主要原因是：</w:t>
      </w:r>
      <w:r>
        <w:rPr>
          <w:rFonts w:hint="eastAsia" w:ascii="仿宋_GB2312" w:eastAsia="仿宋_GB2312"/>
          <w:sz w:val="32"/>
          <w:szCs w:val="32"/>
          <w:lang w:eastAsia="zh-CN"/>
        </w:rPr>
        <w:t>严格按照预算执行，预决算对比无差异</w:t>
      </w:r>
      <w:r>
        <w:rPr>
          <w:rFonts w:ascii="仿宋_GB2312" w:eastAsia="仿宋_GB2312"/>
          <w:sz w:val="32"/>
          <w:szCs w:val="32"/>
          <w:lang w:eastAsia="zh-CN"/>
        </w:rPr>
        <w:t>。</w:t>
      </w:r>
    </w:p>
    <w:p w14:paraId="77F7BE1D">
      <w:pPr>
        <w:spacing w:after="0" w:line="240" w:lineRule="auto"/>
        <w:ind w:firstLine="640" w:firstLineChars="200"/>
        <w:outlineLvl w:val="1"/>
        <w:rPr>
          <w:rFonts w:hint="eastAsia" w:ascii="黑体" w:eastAsia="黑体"/>
          <w:sz w:val="32"/>
          <w:szCs w:val="32"/>
          <w:lang w:eastAsia="zh-CN"/>
        </w:rPr>
      </w:pPr>
      <w:r>
        <w:rPr>
          <w:rFonts w:ascii="黑体" w:eastAsia="黑体"/>
          <w:sz w:val="32"/>
          <w:szCs w:val="32"/>
          <w:lang w:eastAsia="zh-CN"/>
        </w:rPr>
        <w:t>十、其他重要事项的情况说明</w:t>
      </w:r>
    </w:p>
    <w:p w14:paraId="7645615B">
      <w:pPr>
        <w:spacing w:after="0" w:line="240" w:lineRule="auto"/>
        <w:ind w:firstLine="643" w:firstLineChars="200"/>
        <w:outlineLvl w:val="2"/>
        <w:rPr>
          <w:rFonts w:hint="eastAsia" w:ascii="黑体" w:eastAsia="黑体"/>
          <w:sz w:val="32"/>
          <w:szCs w:val="32"/>
          <w:lang w:eastAsia="zh-CN"/>
        </w:rPr>
      </w:pPr>
      <w:r>
        <w:rPr>
          <w:rFonts w:ascii="黑体" w:eastAsia="黑体"/>
          <w:b/>
          <w:sz w:val="32"/>
          <w:szCs w:val="32"/>
          <w:lang w:eastAsia="zh-CN"/>
        </w:rPr>
        <w:t>（一）机关运行经费及公用经费支出情况</w:t>
      </w:r>
    </w:p>
    <w:p w14:paraId="5EB4E5F4">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2024年度昌吉市红十字会单位（行政单位和参照公务员法管理事业单位）机关运行经费支出4.32万元，比上年增加0.53万元，增长13.98%，主要原因是：本年</w:t>
      </w:r>
      <w:r>
        <w:rPr>
          <w:rFonts w:hint="eastAsia" w:ascii="仿宋_GB2312" w:eastAsia="仿宋_GB2312"/>
          <w:sz w:val="32"/>
          <w:szCs w:val="32"/>
          <w:lang w:eastAsia="zh-CN"/>
        </w:rPr>
        <w:t>单位</w:t>
      </w:r>
      <w:r>
        <w:rPr>
          <w:rFonts w:ascii="仿宋_GB2312" w:eastAsia="仿宋_GB2312"/>
          <w:sz w:val="32"/>
          <w:szCs w:val="32"/>
          <w:lang w:eastAsia="zh-CN"/>
        </w:rPr>
        <w:t>物业管理费、差旅费</w:t>
      </w:r>
      <w:r>
        <w:rPr>
          <w:rFonts w:hint="eastAsia" w:ascii="仿宋_GB2312" w:eastAsia="仿宋_GB2312"/>
          <w:sz w:val="32"/>
          <w:szCs w:val="32"/>
          <w:lang w:eastAsia="zh-CN"/>
        </w:rPr>
        <w:t>等较上年增加。</w:t>
      </w:r>
    </w:p>
    <w:p w14:paraId="5CE6B242">
      <w:pPr>
        <w:spacing w:after="0" w:line="240" w:lineRule="auto"/>
        <w:ind w:firstLine="643" w:firstLineChars="200"/>
        <w:outlineLvl w:val="2"/>
        <w:rPr>
          <w:rFonts w:hint="eastAsia" w:ascii="黑体" w:eastAsia="黑体"/>
          <w:sz w:val="32"/>
          <w:szCs w:val="32"/>
          <w:lang w:eastAsia="zh-CN"/>
        </w:rPr>
      </w:pPr>
      <w:r>
        <w:rPr>
          <w:rFonts w:ascii="黑体" w:eastAsia="黑体"/>
          <w:b/>
          <w:sz w:val="32"/>
          <w:szCs w:val="32"/>
          <w:lang w:eastAsia="zh-CN"/>
        </w:rPr>
        <w:t>（二）政府采购情况</w:t>
      </w:r>
    </w:p>
    <w:p w14:paraId="1951680B">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2024年度政府采购支出总额3.29万元，其中：政府采购货物支出1.78万元、政府采购工程支出0.00万元、政府采购服务支出1.51万元。</w:t>
      </w:r>
    </w:p>
    <w:p w14:paraId="63112E35">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授予中小企业合同金额3.29万元，占政府采购支出总额的100.00%，其中：授予小微企业合同金额3.09万元，占政府采购支出总额的93.92%。</w:t>
      </w:r>
    </w:p>
    <w:p w14:paraId="25269AA5">
      <w:pPr>
        <w:spacing w:after="0" w:line="240" w:lineRule="auto"/>
        <w:ind w:firstLine="643" w:firstLineChars="200"/>
        <w:outlineLvl w:val="2"/>
        <w:rPr>
          <w:rFonts w:hint="eastAsia" w:ascii="黑体" w:eastAsia="黑体"/>
          <w:sz w:val="32"/>
          <w:szCs w:val="32"/>
          <w:lang w:eastAsia="zh-CN"/>
        </w:rPr>
      </w:pPr>
      <w:r>
        <w:rPr>
          <w:rFonts w:ascii="黑体" w:eastAsia="黑体"/>
          <w:b/>
          <w:sz w:val="32"/>
          <w:szCs w:val="32"/>
          <w:lang w:eastAsia="zh-CN"/>
        </w:rPr>
        <w:t>（三）国有资产占用情况说明</w:t>
      </w:r>
    </w:p>
    <w:p w14:paraId="55077B4A">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rPr>
        <w:t>截至2024年12月31日，房屋0.00平方米，价值0.00万元。</w:t>
      </w:r>
      <w:r>
        <w:rPr>
          <w:rFonts w:ascii="仿宋_GB2312" w:eastAsia="仿宋_GB2312"/>
          <w:sz w:val="32"/>
          <w:szCs w:val="32"/>
          <w:lang w:eastAsia="zh-CN"/>
        </w:rPr>
        <w:t>车辆1辆，价值15.86万元，其中：副部（省）级及以上领导用车0辆、主要负责人用车0辆、机要通信用车0辆、应急保障用车0辆、执法执勤用车0辆、特种专业技术用车0辆、离退休干部服务用车0辆、其他用车1辆，其他用车主要是：</w:t>
      </w:r>
      <w:r>
        <w:rPr>
          <w:rFonts w:hint="eastAsia" w:ascii="仿宋_GB2312" w:eastAsia="仿宋_GB2312"/>
          <w:sz w:val="32"/>
          <w:szCs w:val="32"/>
          <w:lang w:eastAsia="zh-CN"/>
        </w:rPr>
        <w:t>单位</w:t>
      </w:r>
      <w:r>
        <w:rPr>
          <w:rFonts w:ascii="仿宋_GB2312" w:eastAsia="仿宋_GB2312"/>
          <w:sz w:val="32"/>
          <w:szCs w:val="32"/>
          <w:lang w:eastAsia="zh-CN"/>
        </w:rPr>
        <w:t>业务</w:t>
      </w:r>
      <w:r>
        <w:rPr>
          <w:rFonts w:hint="eastAsia" w:ascii="仿宋_GB2312" w:eastAsia="仿宋_GB2312"/>
          <w:sz w:val="32"/>
          <w:szCs w:val="32"/>
          <w:lang w:eastAsia="zh-CN"/>
        </w:rPr>
        <w:t>用车</w:t>
      </w:r>
      <w:r>
        <w:rPr>
          <w:rFonts w:ascii="仿宋_GB2312" w:eastAsia="仿宋_GB2312"/>
          <w:sz w:val="32"/>
          <w:szCs w:val="32"/>
          <w:lang w:eastAsia="zh-CN"/>
        </w:rPr>
        <w:t>;单价100万元（含）以上设备（不含车辆）0台（套）。</w:t>
      </w:r>
    </w:p>
    <w:p w14:paraId="1B11AD70">
      <w:pPr>
        <w:spacing w:after="0" w:line="240" w:lineRule="auto"/>
        <w:ind w:firstLine="640" w:firstLineChars="200"/>
        <w:outlineLvl w:val="1"/>
        <w:rPr>
          <w:rFonts w:hint="eastAsia" w:ascii="黑体" w:eastAsia="黑体"/>
          <w:sz w:val="32"/>
          <w:szCs w:val="32"/>
          <w:lang w:eastAsia="zh-CN"/>
        </w:rPr>
      </w:pPr>
      <w:r>
        <w:rPr>
          <w:rFonts w:ascii="黑体" w:eastAsia="黑体"/>
          <w:sz w:val="32"/>
          <w:szCs w:val="32"/>
          <w:lang w:eastAsia="zh-CN"/>
        </w:rPr>
        <w:t>十一、预算绩效的情况说明</w:t>
      </w:r>
    </w:p>
    <w:p w14:paraId="10375637">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根据预算绩效管理要求，本单位2024年度预算绩效管理形成整体支出绩效自评表1个，全年预算总额</w:t>
      </w:r>
      <w:r>
        <w:rPr>
          <w:rFonts w:hint="eastAsia" w:ascii="仿宋_GB2312" w:eastAsia="仿宋_GB2312"/>
          <w:sz w:val="32"/>
          <w:szCs w:val="32"/>
          <w:lang w:eastAsia="zh-CN"/>
        </w:rPr>
        <w:t>105.28</w:t>
      </w:r>
      <w:r>
        <w:rPr>
          <w:rFonts w:ascii="仿宋_GB2312" w:eastAsia="仿宋_GB2312"/>
          <w:sz w:val="32"/>
          <w:szCs w:val="32"/>
          <w:lang w:eastAsia="zh-CN"/>
        </w:rPr>
        <w:t>万元，实际执行总额105.28万元；预算绩效评价项目0个，全年预算数0</w:t>
      </w:r>
      <w:r>
        <w:rPr>
          <w:rFonts w:hint="eastAsia" w:ascii="仿宋_GB2312" w:eastAsia="仿宋_GB2312"/>
          <w:sz w:val="32"/>
          <w:szCs w:val="32"/>
          <w:lang w:eastAsia="zh-CN"/>
        </w:rPr>
        <w:t>.00</w:t>
      </w:r>
      <w:r>
        <w:rPr>
          <w:rFonts w:ascii="仿宋_GB2312" w:eastAsia="仿宋_GB2312"/>
          <w:sz w:val="32"/>
          <w:szCs w:val="32"/>
          <w:lang w:eastAsia="zh-CN"/>
        </w:rPr>
        <w:t>万元，全年执行数0</w:t>
      </w:r>
      <w:r>
        <w:rPr>
          <w:rFonts w:hint="eastAsia" w:ascii="仿宋_GB2312" w:eastAsia="仿宋_GB2312"/>
          <w:sz w:val="32"/>
          <w:szCs w:val="32"/>
          <w:lang w:eastAsia="zh-CN"/>
        </w:rPr>
        <w:t>.00</w:t>
      </w:r>
      <w:r>
        <w:rPr>
          <w:rFonts w:ascii="仿宋_GB2312" w:eastAsia="仿宋_GB2312"/>
          <w:sz w:val="32"/>
          <w:szCs w:val="32"/>
          <w:lang w:eastAsia="zh-CN"/>
        </w:rPr>
        <w:t>万元。预算绩效管理取得的成效：</w:t>
      </w:r>
      <w:r>
        <w:rPr>
          <w:rFonts w:hint="eastAsia" w:ascii="仿宋_GB2312" w:eastAsia="仿宋_GB2312"/>
          <w:sz w:val="32"/>
          <w:szCs w:val="32"/>
          <w:lang w:eastAsia="zh-CN"/>
        </w:rPr>
        <w:t>一是绩效目标编制全覆盖，年初预算、追加预算、重点项目等都进行了绩效目标编制；二是预算绩效动态监控成为常态，从资金支付进度、使用方向和具体用途等方面进行定期监控，对预算执行绩效加强监控跟踪，确保预算资金高效安全；三是通过绩效评价的实施，积极反馈科室整改，补齐短板，增强部门绩效责任意识，统一思想认识，有效促进部门履职尽责。发现的问题及原因：一是通过近两年绩效评价工作，我单位的绩效工作水平和工作质量有了进步，但与上级部门的绩效评价工作相适应的政策水平、业务能力和文字综合能力的要求还有很大差距，有待进一步提高；二是绩效标准不健全，绩效目标的设置还不科学，预算资金与绩效目标之间的匹配程度还不够高，目标审核基本上还是形式性审核，实质性审核程度不高。下一步改进措施：一是加强业务人员的培训，提高业务能力，继续规范资金管理，全面做好项目绩效预算；二是探索设定项目个性化指标，科学合理的设置评价标准，修订完善评价指标体系，逐步提高评价工作质量。</w:t>
      </w:r>
      <w:r>
        <w:rPr>
          <w:rFonts w:ascii="仿宋_GB2312" w:eastAsia="仿宋_GB2312"/>
          <w:sz w:val="32"/>
          <w:szCs w:val="32"/>
          <w:lang w:eastAsia="zh-CN"/>
        </w:rPr>
        <w:t>具体附部门整体支出绩效自评表。</w:t>
      </w:r>
    </w:p>
    <w:p w14:paraId="35F33C1F">
      <w:pPr>
        <w:widowControl w:val="0"/>
        <w:spacing w:after="0" w:line="240" w:lineRule="auto"/>
        <w:rPr>
          <w:rFonts w:hint="eastAsia" w:ascii="宋体" w:hAnsi="宋体" w:eastAsia="宋体" w:cs="Times New Roman"/>
          <w:b/>
          <w:bCs/>
          <w:sz w:val="18"/>
          <w:szCs w:val="18"/>
          <w:lang w:eastAsia="zh-CN"/>
        </w:rPr>
      </w:pPr>
    </w:p>
    <w:p w14:paraId="4F563752">
      <w:pPr>
        <w:widowControl w:val="0"/>
        <w:spacing w:after="0" w:line="240" w:lineRule="auto"/>
        <w:jc w:val="center"/>
        <w:rPr>
          <w:rFonts w:hint="eastAsia" w:ascii="宋体" w:hAnsi="宋体" w:eastAsia="宋体" w:cs="Times New Roman"/>
          <w:b/>
          <w:bCs/>
          <w:sz w:val="28"/>
          <w:szCs w:val="28"/>
          <w:lang w:eastAsia="zh-CN"/>
        </w:rPr>
      </w:pPr>
      <w:r>
        <w:rPr>
          <w:rFonts w:hint="eastAsia" w:ascii="宋体" w:hAnsi="宋体" w:eastAsia="宋体" w:cs="Times New Roman"/>
          <w:b/>
          <w:bCs/>
          <w:sz w:val="18"/>
          <w:szCs w:val="18"/>
          <w:lang w:eastAsia="zh-CN"/>
        </w:rPr>
        <w:br w:type="page"/>
      </w:r>
      <w:r>
        <w:rPr>
          <w:rFonts w:hint="eastAsia" w:ascii="宋体" w:hAnsi="宋体" w:eastAsia="宋体" w:cs="Times New Roman"/>
          <w:b/>
          <w:bCs/>
          <w:sz w:val="28"/>
          <w:szCs w:val="28"/>
          <w:lang w:eastAsia="zh-CN"/>
        </w:rPr>
        <w:t>部门（单位）整体支出绩效目标自评表</w:t>
      </w:r>
    </w:p>
    <w:p w14:paraId="39951843">
      <w:pPr>
        <w:widowControl w:val="0"/>
        <w:spacing w:after="0" w:line="240" w:lineRule="auto"/>
        <w:jc w:val="center"/>
        <w:rPr>
          <w:rFonts w:hint="eastAsia" w:ascii="宋体" w:hAnsi="宋体" w:eastAsia="宋体" w:cs="Times New Roman"/>
          <w:b/>
          <w:bCs/>
          <w:sz w:val="18"/>
          <w:szCs w:val="18"/>
          <w:lang w:eastAsia="zh-CN"/>
        </w:rPr>
      </w:pPr>
      <w:r>
        <w:rPr>
          <w:rFonts w:hint="eastAsia" w:ascii="宋体" w:hAnsi="宋体" w:eastAsia="宋体" w:cs="Times New Roman"/>
          <w:b/>
          <w:bCs/>
          <w:sz w:val="18"/>
          <w:szCs w:val="18"/>
          <w:lang w:eastAsia="zh-CN"/>
        </w:rPr>
        <w:t>（2024年度）</w:t>
      </w:r>
    </w:p>
    <w:tbl>
      <w:tblPr>
        <w:tblStyle w:val="12"/>
        <w:tblW w:w="9935" w:type="dxa"/>
        <w:tblInd w:w="-601" w:type="dxa"/>
        <w:tblLayout w:type="fixed"/>
        <w:tblCellMar>
          <w:top w:w="0" w:type="dxa"/>
          <w:left w:w="108" w:type="dxa"/>
          <w:bottom w:w="0" w:type="dxa"/>
          <w:right w:w="108" w:type="dxa"/>
        </w:tblCellMar>
      </w:tblPr>
      <w:tblGrid>
        <w:gridCol w:w="993"/>
        <w:gridCol w:w="1417"/>
        <w:gridCol w:w="1418"/>
        <w:gridCol w:w="1276"/>
        <w:gridCol w:w="1842"/>
        <w:gridCol w:w="993"/>
        <w:gridCol w:w="992"/>
        <w:gridCol w:w="720"/>
        <w:gridCol w:w="284"/>
      </w:tblGrid>
      <w:tr w14:paraId="2B9D94C7">
        <w:tblPrEx>
          <w:tblCellMar>
            <w:top w:w="0" w:type="dxa"/>
            <w:left w:w="108" w:type="dxa"/>
            <w:bottom w:w="0" w:type="dxa"/>
            <w:right w:w="108" w:type="dxa"/>
          </w:tblCellMar>
        </w:tblPrEx>
        <w:trPr>
          <w:cantSplit/>
          <w:trHeight w:val="660" w:hRule="atLeast"/>
        </w:trPr>
        <w:tc>
          <w:tcPr>
            <w:tcW w:w="993" w:type="dxa"/>
            <w:tcBorders>
              <w:top w:val="single" w:color="auto" w:sz="4" w:space="0"/>
              <w:left w:val="single" w:color="auto" w:sz="4" w:space="0"/>
              <w:bottom w:val="single" w:color="auto" w:sz="4" w:space="0"/>
              <w:right w:val="single" w:color="auto" w:sz="4" w:space="0"/>
            </w:tcBorders>
            <w:noWrap/>
            <w:vAlign w:val="center"/>
          </w:tcPr>
          <w:p w14:paraId="27D08328">
            <w:pPr>
              <w:spacing w:after="0" w:line="240" w:lineRule="auto"/>
              <w:jc w:val="center"/>
              <w:rPr>
                <w:rFonts w:hint="eastAsia" w:ascii="宋体" w:hAnsi="宋体" w:eastAsia="宋体" w:cs="Times New Roman"/>
                <w:b/>
                <w:bCs/>
                <w:sz w:val="18"/>
                <w:szCs w:val="18"/>
                <w:lang w:eastAsia="zh-CN"/>
              </w:rPr>
            </w:pPr>
            <w:r>
              <w:rPr>
                <w:rFonts w:hint="eastAsia" w:ascii="宋体" w:hAnsi="宋体" w:eastAsia="宋体" w:cs="Times New Roman"/>
                <w:b/>
                <w:bCs/>
                <w:sz w:val="18"/>
                <w:szCs w:val="18"/>
                <w:lang w:eastAsia="zh-CN"/>
              </w:rPr>
              <w:t>部门（单位）名称</w:t>
            </w:r>
          </w:p>
        </w:tc>
        <w:tc>
          <w:tcPr>
            <w:tcW w:w="8658" w:type="dxa"/>
            <w:gridSpan w:val="7"/>
            <w:tcBorders>
              <w:top w:val="single" w:color="auto" w:sz="4" w:space="0"/>
              <w:left w:val="nil"/>
              <w:bottom w:val="single" w:color="auto" w:sz="4" w:space="0"/>
              <w:right w:val="single" w:color="auto" w:sz="4" w:space="0"/>
            </w:tcBorders>
            <w:noWrap/>
            <w:vAlign w:val="center"/>
          </w:tcPr>
          <w:p w14:paraId="05444D95">
            <w:pPr>
              <w:spacing w:after="0" w:line="240" w:lineRule="auto"/>
              <w:jc w:val="center"/>
              <w:rPr>
                <w:rFonts w:hint="eastAsia" w:ascii="宋体" w:hAnsi="宋体" w:eastAsia="宋体" w:cs="Times New Roman"/>
                <w:b/>
                <w:bCs/>
                <w:sz w:val="18"/>
                <w:szCs w:val="18"/>
                <w:lang w:eastAsia="zh-CN"/>
              </w:rPr>
            </w:pPr>
            <w:r>
              <w:rPr>
                <w:rFonts w:hint="eastAsia" w:ascii="宋体" w:hAnsi="宋体" w:eastAsia="宋体" w:cs="Times New Roman"/>
                <w:b/>
                <w:bCs/>
                <w:sz w:val="18"/>
                <w:szCs w:val="18"/>
                <w:lang w:eastAsia="zh-CN"/>
              </w:rPr>
              <w:t>昌吉市红十字会</w:t>
            </w:r>
          </w:p>
        </w:tc>
        <w:tc>
          <w:tcPr>
            <w:tcW w:w="284" w:type="dxa"/>
            <w:tcBorders>
              <w:top w:val="nil"/>
              <w:left w:val="nil"/>
              <w:bottom w:val="nil"/>
              <w:right w:val="nil"/>
            </w:tcBorders>
            <w:noWrap/>
            <w:vAlign w:val="center"/>
          </w:tcPr>
          <w:p w14:paraId="2860FB83">
            <w:pPr>
              <w:spacing w:after="0" w:line="240" w:lineRule="auto"/>
              <w:rPr>
                <w:rFonts w:hint="eastAsia" w:ascii="宋体" w:hAnsi="宋体" w:eastAsia="宋体" w:cs="Times New Roman"/>
                <w:b/>
                <w:bCs/>
                <w:sz w:val="18"/>
                <w:szCs w:val="18"/>
                <w:lang w:eastAsia="zh-CN"/>
              </w:rPr>
            </w:pPr>
          </w:p>
        </w:tc>
      </w:tr>
      <w:tr w14:paraId="7B6D2140">
        <w:tblPrEx>
          <w:tblCellMar>
            <w:top w:w="0" w:type="dxa"/>
            <w:left w:w="108" w:type="dxa"/>
            <w:bottom w:w="0" w:type="dxa"/>
            <w:right w:w="108" w:type="dxa"/>
          </w:tblCellMar>
        </w:tblPrEx>
        <w:trPr>
          <w:cantSplit/>
          <w:trHeight w:val="570" w:hRule="atLeast"/>
        </w:trPr>
        <w:tc>
          <w:tcPr>
            <w:tcW w:w="993" w:type="dxa"/>
            <w:vMerge w:val="restart"/>
            <w:tcBorders>
              <w:top w:val="nil"/>
              <w:left w:val="single" w:color="auto" w:sz="4" w:space="0"/>
              <w:bottom w:val="single" w:color="auto" w:sz="4" w:space="0"/>
              <w:right w:val="single" w:color="auto" w:sz="4" w:space="0"/>
            </w:tcBorders>
            <w:vAlign w:val="center"/>
          </w:tcPr>
          <w:p w14:paraId="57615502">
            <w:pPr>
              <w:spacing w:after="0" w:line="240" w:lineRule="auto"/>
              <w:jc w:val="center"/>
              <w:rPr>
                <w:rFonts w:hint="eastAsia" w:ascii="宋体" w:hAnsi="宋体" w:eastAsia="宋体" w:cs="Times New Roman"/>
                <w:b/>
                <w:bCs/>
                <w:sz w:val="18"/>
                <w:szCs w:val="18"/>
                <w:lang w:eastAsia="zh-CN"/>
              </w:rPr>
            </w:pPr>
            <w:r>
              <w:rPr>
                <w:rFonts w:hint="eastAsia" w:ascii="宋体" w:hAnsi="宋体" w:eastAsia="宋体" w:cs="Times New Roman"/>
                <w:b/>
                <w:bCs/>
                <w:sz w:val="18"/>
                <w:szCs w:val="18"/>
                <w:lang w:eastAsia="zh-CN"/>
              </w:rPr>
              <w:t>部门资金（万元）</w:t>
            </w:r>
          </w:p>
        </w:tc>
        <w:tc>
          <w:tcPr>
            <w:tcW w:w="1417" w:type="dxa"/>
            <w:tcBorders>
              <w:top w:val="nil"/>
              <w:left w:val="nil"/>
              <w:bottom w:val="single" w:color="auto" w:sz="4" w:space="0"/>
              <w:right w:val="single" w:color="auto" w:sz="4" w:space="0"/>
            </w:tcBorders>
            <w:vAlign w:val="center"/>
          </w:tcPr>
          <w:p w14:paraId="4C0708D7">
            <w:pPr>
              <w:spacing w:after="0" w:line="240" w:lineRule="auto"/>
              <w:jc w:val="center"/>
              <w:rPr>
                <w:rFonts w:hint="eastAsia" w:ascii="宋体" w:hAnsi="宋体" w:eastAsia="宋体" w:cs="Times New Roman"/>
                <w:b/>
                <w:bCs/>
                <w:sz w:val="18"/>
                <w:szCs w:val="18"/>
                <w:lang w:eastAsia="zh-CN"/>
              </w:rPr>
            </w:pPr>
            <w:r>
              <w:rPr>
                <w:rFonts w:hint="eastAsia" w:ascii="宋体" w:hAnsi="宋体" w:eastAsia="宋体" w:cs="Times New Roman"/>
                <w:b/>
                <w:bCs/>
                <w:sz w:val="18"/>
                <w:szCs w:val="18"/>
                <w:lang w:eastAsia="zh-CN"/>
              </w:rPr>
              <w:t>资金来源</w:t>
            </w:r>
          </w:p>
        </w:tc>
        <w:tc>
          <w:tcPr>
            <w:tcW w:w="1418" w:type="dxa"/>
            <w:tcBorders>
              <w:top w:val="nil"/>
              <w:left w:val="nil"/>
              <w:bottom w:val="single" w:color="auto" w:sz="4" w:space="0"/>
              <w:right w:val="single" w:color="auto" w:sz="4" w:space="0"/>
            </w:tcBorders>
            <w:vAlign w:val="center"/>
          </w:tcPr>
          <w:p w14:paraId="44EAF526">
            <w:pPr>
              <w:spacing w:after="0" w:line="240" w:lineRule="auto"/>
              <w:jc w:val="center"/>
              <w:rPr>
                <w:rFonts w:hint="eastAsia" w:ascii="宋体" w:hAnsi="宋体" w:eastAsia="宋体" w:cs="Times New Roman"/>
                <w:b/>
                <w:bCs/>
                <w:sz w:val="18"/>
                <w:szCs w:val="18"/>
                <w:lang w:eastAsia="zh-CN"/>
              </w:rPr>
            </w:pPr>
            <w:r>
              <w:rPr>
                <w:rFonts w:hint="eastAsia" w:ascii="宋体" w:hAnsi="宋体" w:eastAsia="宋体" w:cs="Times New Roman"/>
                <w:b/>
                <w:bCs/>
                <w:sz w:val="18"/>
                <w:szCs w:val="18"/>
                <w:lang w:eastAsia="zh-CN"/>
              </w:rPr>
              <w:t>年初预算数</w:t>
            </w:r>
          </w:p>
        </w:tc>
        <w:tc>
          <w:tcPr>
            <w:tcW w:w="1276" w:type="dxa"/>
            <w:tcBorders>
              <w:top w:val="nil"/>
              <w:left w:val="nil"/>
              <w:bottom w:val="single" w:color="auto" w:sz="4" w:space="0"/>
              <w:right w:val="single" w:color="auto" w:sz="4" w:space="0"/>
            </w:tcBorders>
            <w:vAlign w:val="center"/>
          </w:tcPr>
          <w:p w14:paraId="04CB92DE">
            <w:pPr>
              <w:spacing w:after="0" w:line="240" w:lineRule="auto"/>
              <w:jc w:val="center"/>
              <w:rPr>
                <w:rFonts w:hint="eastAsia" w:ascii="宋体" w:hAnsi="宋体" w:eastAsia="宋体" w:cs="Times New Roman"/>
                <w:b/>
                <w:bCs/>
                <w:sz w:val="18"/>
                <w:szCs w:val="18"/>
                <w:lang w:eastAsia="zh-CN"/>
              </w:rPr>
            </w:pPr>
            <w:r>
              <w:rPr>
                <w:rFonts w:hint="eastAsia" w:ascii="宋体" w:hAnsi="宋体" w:eastAsia="宋体" w:cs="Times New Roman"/>
                <w:b/>
                <w:bCs/>
                <w:sz w:val="18"/>
                <w:szCs w:val="18"/>
                <w:lang w:eastAsia="zh-CN"/>
              </w:rPr>
              <w:t>全年预算数</w:t>
            </w:r>
          </w:p>
        </w:tc>
        <w:tc>
          <w:tcPr>
            <w:tcW w:w="1842" w:type="dxa"/>
            <w:tcBorders>
              <w:top w:val="nil"/>
              <w:left w:val="nil"/>
              <w:bottom w:val="single" w:color="auto" w:sz="4" w:space="0"/>
              <w:right w:val="single" w:color="auto" w:sz="4" w:space="0"/>
            </w:tcBorders>
            <w:vAlign w:val="center"/>
          </w:tcPr>
          <w:p w14:paraId="10CDFCE2">
            <w:pPr>
              <w:spacing w:after="0" w:line="240" w:lineRule="auto"/>
              <w:jc w:val="center"/>
              <w:rPr>
                <w:rFonts w:hint="eastAsia" w:ascii="宋体" w:hAnsi="宋体" w:eastAsia="宋体" w:cs="Times New Roman"/>
                <w:b/>
                <w:bCs/>
                <w:sz w:val="18"/>
                <w:szCs w:val="18"/>
                <w:lang w:eastAsia="zh-CN"/>
              </w:rPr>
            </w:pPr>
            <w:r>
              <w:rPr>
                <w:rFonts w:hint="eastAsia" w:ascii="宋体" w:hAnsi="宋体" w:eastAsia="宋体" w:cs="Times New Roman"/>
                <w:b/>
                <w:bCs/>
                <w:sz w:val="18"/>
                <w:szCs w:val="18"/>
                <w:lang w:eastAsia="zh-CN"/>
              </w:rPr>
              <w:t>全年执行数</w:t>
            </w:r>
          </w:p>
        </w:tc>
        <w:tc>
          <w:tcPr>
            <w:tcW w:w="993" w:type="dxa"/>
            <w:tcBorders>
              <w:top w:val="nil"/>
              <w:left w:val="nil"/>
              <w:bottom w:val="single" w:color="auto" w:sz="4" w:space="0"/>
              <w:right w:val="single" w:color="auto" w:sz="4" w:space="0"/>
            </w:tcBorders>
            <w:vAlign w:val="center"/>
          </w:tcPr>
          <w:p w14:paraId="496B2059">
            <w:pPr>
              <w:spacing w:after="0" w:line="240" w:lineRule="auto"/>
              <w:jc w:val="center"/>
              <w:rPr>
                <w:rFonts w:hint="eastAsia" w:ascii="宋体" w:hAnsi="宋体" w:eastAsia="宋体" w:cs="Times New Roman"/>
                <w:b/>
                <w:bCs/>
                <w:sz w:val="18"/>
                <w:szCs w:val="18"/>
                <w:lang w:eastAsia="zh-CN"/>
              </w:rPr>
            </w:pPr>
            <w:r>
              <w:rPr>
                <w:rFonts w:hint="eastAsia" w:ascii="宋体" w:hAnsi="宋体" w:eastAsia="宋体" w:cs="Times New Roman"/>
                <w:b/>
                <w:bCs/>
                <w:sz w:val="18"/>
                <w:szCs w:val="18"/>
                <w:lang w:eastAsia="zh-CN"/>
              </w:rPr>
              <w:t>分值权重</w:t>
            </w:r>
          </w:p>
        </w:tc>
        <w:tc>
          <w:tcPr>
            <w:tcW w:w="992" w:type="dxa"/>
            <w:tcBorders>
              <w:top w:val="nil"/>
              <w:left w:val="nil"/>
              <w:bottom w:val="single" w:color="auto" w:sz="4" w:space="0"/>
              <w:right w:val="single" w:color="auto" w:sz="4" w:space="0"/>
            </w:tcBorders>
            <w:vAlign w:val="center"/>
          </w:tcPr>
          <w:p w14:paraId="2DC4E3A7">
            <w:pPr>
              <w:spacing w:after="0" w:line="240" w:lineRule="auto"/>
              <w:jc w:val="center"/>
              <w:rPr>
                <w:rFonts w:hint="eastAsia" w:ascii="宋体" w:hAnsi="宋体" w:eastAsia="宋体" w:cs="Times New Roman"/>
                <w:b/>
                <w:bCs/>
                <w:sz w:val="18"/>
                <w:szCs w:val="18"/>
                <w:lang w:eastAsia="zh-CN"/>
              </w:rPr>
            </w:pPr>
            <w:r>
              <w:rPr>
                <w:rFonts w:hint="eastAsia" w:ascii="宋体" w:hAnsi="宋体" w:eastAsia="宋体" w:cs="Times New Roman"/>
                <w:b/>
                <w:bCs/>
                <w:sz w:val="18"/>
                <w:szCs w:val="18"/>
                <w:lang w:eastAsia="zh-CN"/>
              </w:rPr>
              <w:t>执行率</w:t>
            </w:r>
          </w:p>
        </w:tc>
        <w:tc>
          <w:tcPr>
            <w:tcW w:w="720" w:type="dxa"/>
            <w:tcBorders>
              <w:top w:val="nil"/>
              <w:left w:val="nil"/>
              <w:bottom w:val="single" w:color="auto" w:sz="4" w:space="0"/>
              <w:right w:val="single" w:color="auto" w:sz="4" w:space="0"/>
            </w:tcBorders>
            <w:vAlign w:val="center"/>
          </w:tcPr>
          <w:p w14:paraId="755E5807">
            <w:pPr>
              <w:spacing w:after="0" w:line="240" w:lineRule="auto"/>
              <w:jc w:val="center"/>
              <w:rPr>
                <w:rFonts w:hint="eastAsia" w:ascii="宋体" w:hAnsi="宋体" w:eastAsia="宋体" w:cs="Times New Roman"/>
                <w:b/>
                <w:bCs/>
                <w:sz w:val="18"/>
                <w:szCs w:val="18"/>
                <w:lang w:eastAsia="zh-CN"/>
              </w:rPr>
            </w:pPr>
            <w:r>
              <w:rPr>
                <w:rFonts w:hint="eastAsia" w:ascii="宋体" w:hAnsi="宋体" w:eastAsia="宋体" w:cs="Times New Roman"/>
                <w:b/>
                <w:bCs/>
                <w:sz w:val="18"/>
                <w:szCs w:val="18"/>
                <w:lang w:eastAsia="zh-CN"/>
              </w:rPr>
              <w:t>得分</w:t>
            </w:r>
          </w:p>
        </w:tc>
        <w:tc>
          <w:tcPr>
            <w:tcW w:w="284" w:type="dxa"/>
            <w:tcBorders>
              <w:top w:val="nil"/>
              <w:left w:val="nil"/>
              <w:bottom w:val="nil"/>
              <w:right w:val="nil"/>
            </w:tcBorders>
            <w:noWrap/>
            <w:vAlign w:val="center"/>
          </w:tcPr>
          <w:p w14:paraId="3F6406FE">
            <w:pPr>
              <w:spacing w:after="0" w:line="240" w:lineRule="auto"/>
              <w:jc w:val="center"/>
              <w:rPr>
                <w:rFonts w:hint="eastAsia" w:ascii="宋体" w:hAnsi="宋体" w:eastAsia="宋体" w:cs="Times New Roman"/>
                <w:b/>
                <w:bCs/>
                <w:sz w:val="18"/>
                <w:szCs w:val="18"/>
                <w:lang w:eastAsia="zh-CN"/>
              </w:rPr>
            </w:pPr>
          </w:p>
        </w:tc>
      </w:tr>
      <w:tr w14:paraId="642E9EB2">
        <w:tblPrEx>
          <w:tblCellMar>
            <w:top w:w="0" w:type="dxa"/>
            <w:left w:w="108" w:type="dxa"/>
            <w:bottom w:w="0" w:type="dxa"/>
            <w:right w:w="108" w:type="dxa"/>
          </w:tblCellMar>
        </w:tblPrEx>
        <w:trPr>
          <w:cantSplit/>
          <w:trHeight w:val="489" w:hRule="atLeast"/>
        </w:trPr>
        <w:tc>
          <w:tcPr>
            <w:tcW w:w="993" w:type="dxa"/>
            <w:vMerge w:val="continue"/>
            <w:tcBorders>
              <w:top w:val="nil"/>
              <w:left w:val="single" w:color="auto" w:sz="4" w:space="0"/>
              <w:bottom w:val="single" w:color="auto" w:sz="4" w:space="0"/>
              <w:right w:val="single" w:color="auto" w:sz="4" w:space="0"/>
            </w:tcBorders>
            <w:vAlign w:val="center"/>
          </w:tcPr>
          <w:p w14:paraId="24A1926E">
            <w:pPr>
              <w:spacing w:after="0" w:line="240" w:lineRule="auto"/>
              <w:rPr>
                <w:rFonts w:hint="eastAsia" w:ascii="宋体" w:hAnsi="宋体" w:eastAsia="宋体" w:cs="Times New Roman"/>
                <w:b/>
                <w:bCs/>
                <w:sz w:val="18"/>
                <w:szCs w:val="18"/>
                <w:lang w:eastAsia="zh-CN"/>
              </w:rPr>
            </w:pPr>
          </w:p>
        </w:tc>
        <w:tc>
          <w:tcPr>
            <w:tcW w:w="1417" w:type="dxa"/>
            <w:tcBorders>
              <w:top w:val="nil"/>
              <w:left w:val="nil"/>
              <w:bottom w:val="single" w:color="auto" w:sz="4" w:space="0"/>
              <w:right w:val="single" w:color="auto" w:sz="4" w:space="0"/>
            </w:tcBorders>
            <w:noWrap/>
            <w:vAlign w:val="center"/>
          </w:tcPr>
          <w:p w14:paraId="657B5B4D">
            <w:pPr>
              <w:spacing w:after="0" w:line="240" w:lineRule="auto"/>
              <w:jc w:val="center"/>
              <w:rPr>
                <w:rFonts w:hint="eastAsia" w:ascii="宋体" w:hAnsi="宋体" w:eastAsia="宋体" w:cs="Times New Roman"/>
                <w:b/>
                <w:bCs/>
                <w:sz w:val="18"/>
                <w:szCs w:val="18"/>
                <w:lang w:eastAsia="zh-CN"/>
              </w:rPr>
            </w:pPr>
            <w:r>
              <w:rPr>
                <w:rFonts w:hint="eastAsia" w:ascii="宋体" w:hAnsi="宋体" w:eastAsia="宋体" w:cs="Times New Roman"/>
                <w:b/>
                <w:bCs/>
                <w:sz w:val="18"/>
                <w:szCs w:val="18"/>
                <w:lang w:eastAsia="zh-CN"/>
              </w:rPr>
              <w:t>上级资金</w:t>
            </w:r>
          </w:p>
        </w:tc>
        <w:tc>
          <w:tcPr>
            <w:tcW w:w="1418" w:type="dxa"/>
            <w:tcBorders>
              <w:top w:val="nil"/>
              <w:left w:val="nil"/>
              <w:bottom w:val="single" w:color="auto" w:sz="4" w:space="0"/>
              <w:right w:val="single" w:color="auto" w:sz="4" w:space="0"/>
            </w:tcBorders>
            <w:vAlign w:val="center"/>
          </w:tcPr>
          <w:p w14:paraId="486A94E7">
            <w:pPr>
              <w:spacing w:after="0" w:line="240" w:lineRule="auto"/>
              <w:jc w:val="center"/>
              <w:rPr>
                <w:rFonts w:hint="eastAsia" w:ascii="宋体" w:hAnsi="宋体" w:eastAsia="宋体" w:cs="Times New Roman"/>
                <w:sz w:val="18"/>
                <w:szCs w:val="18"/>
                <w:lang w:eastAsia="zh-CN"/>
              </w:rPr>
            </w:pPr>
            <w:r>
              <w:rPr>
                <w:rFonts w:hint="eastAsia" w:ascii="宋体" w:hAnsi="宋体" w:eastAsia="宋体" w:cs="Times New Roman"/>
                <w:sz w:val="18"/>
                <w:szCs w:val="18"/>
                <w:lang w:eastAsia="zh-CN"/>
              </w:rPr>
              <w:t>0.00</w:t>
            </w:r>
          </w:p>
        </w:tc>
        <w:tc>
          <w:tcPr>
            <w:tcW w:w="1276" w:type="dxa"/>
            <w:tcBorders>
              <w:top w:val="nil"/>
              <w:left w:val="nil"/>
              <w:bottom w:val="single" w:color="auto" w:sz="4" w:space="0"/>
              <w:right w:val="single" w:color="auto" w:sz="4" w:space="0"/>
            </w:tcBorders>
            <w:vAlign w:val="center"/>
          </w:tcPr>
          <w:p w14:paraId="3BDF4C64">
            <w:pPr>
              <w:spacing w:after="0" w:line="240" w:lineRule="auto"/>
              <w:jc w:val="center"/>
              <w:rPr>
                <w:rFonts w:hint="eastAsia" w:ascii="宋体" w:hAnsi="宋体" w:eastAsia="宋体" w:cs="Times New Roman"/>
                <w:sz w:val="18"/>
                <w:szCs w:val="18"/>
                <w:lang w:eastAsia="zh-CN"/>
              </w:rPr>
            </w:pPr>
            <w:r>
              <w:rPr>
                <w:rFonts w:hint="eastAsia" w:ascii="宋体" w:hAnsi="宋体" w:eastAsia="宋体" w:cs="Times New Roman"/>
                <w:sz w:val="18"/>
                <w:szCs w:val="18"/>
                <w:lang w:eastAsia="zh-CN"/>
              </w:rPr>
              <w:t>0.00</w:t>
            </w:r>
          </w:p>
        </w:tc>
        <w:tc>
          <w:tcPr>
            <w:tcW w:w="1842" w:type="dxa"/>
            <w:tcBorders>
              <w:top w:val="nil"/>
              <w:left w:val="nil"/>
              <w:bottom w:val="single" w:color="auto" w:sz="4" w:space="0"/>
              <w:right w:val="single" w:color="auto" w:sz="4" w:space="0"/>
            </w:tcBorders>
            <w:vAlign w:val="center"/>
          </w:tcPr>
          <w:p w14:paraId="00827671">
            <w:pPr>
              <w:spacing w:after="0" w:line="240" w:lineRule="auto"/>
              <w:jc w:val="center"/>
              <w:rPr>
                <w:rFonts w:hint="eastAsia" w:ascii="宋体" w:hAnsi="宋体" w:eastAsia="宋体" w:cs="Times New Roman"/>
                <w:sz w:val="18"/>
                <w:szCs w:val="18"/>
                <w:lang w:eastAsia="zh-CN"/>
              </w:rPr>
            </w:pPr>
            <w:r>
              <w:rPr>
                <w:rFonts w:hint="eastAsia" w:ascii="宋体" w:hAnsi="宋体" w:eastAsia="宋体" w:cs="Times New Roman"/>
                <w:sz w:val="18"/>
                <w:szCs w:val="18"/>
                <w:lang w:eastAsia="zh-CN"/>
              </w:rPr>
              <w:t>0.00</w:t>
            </w:r>
          </w:p>
        </w:tc>
        <w:tc>
          <w:tcPr>
            <w:tcW w:w="993" w:type="dxa"/>
            <w:tcBorders>
              <w:top w:val="nil"/>
              <w:left w:val="nil"/>
              <w:bottom w:val="single" w:color="auto" w:sz="4" w:space="0"/>
              <w:right w:val="single" w:color="auto" w:sz="4" w:space="0"/>
            </w:tcBorders>
            <w:vAlign w:val="center"/>
          </w:tcPr>
          <w:p w14:paraId="280685EC">
            <w:pPr>
              <w:spacing w:after="0" w:line="240" w:lineRule="auto"/>
              <w:jc w:val="center"/>
              <w:rPr>
                <w:rFonts w:hint="eastAsia" w:ascii="宋体" w:hAnsi="宋体" w:eastAsia="宋体" w:cs="Times New Roman"/>
                <w:sz w:val="18"/>
                <w:szCs w:val="18"/>
                <w:lang w:eastAsia="zh-CN"/>
              </w:rPr>
            </w:pPr>
            <w:r>
              <w:rPr>
                <w:rFonts w:hint="eastAsia" w:ascii="宋体" w:hAnsi="宋体" w:eastAsia="宋体" w:cs="Times New Roman"/>
                <w:sz w:val="18"/>
                <w:szCs w:val="18"/>
                <w:lang w:eastAsia="zh-CN"/>
              </w:rPr>
              <w:t>10</w:t>
            </w:r>
          </w:p>
        </w:tc>
        <w:tc>
          <w:tcPr>
            <w:tcW w:w="992" w:type="dxa"/>
            <w:tcBorders>
              <w:top w:val="nil"/>
              <w:left w:val="nil"/>
              <w:bottom w:val="single" w:color="auto" w:sz="4" w:space="0"/>
              <w:right w:val="single" w:color="auto" w:sz="4" w:space="0"/>
            </w:tcBorders>
            <w:vAlign w:val="center"/>
          </w:tcPr>
          <w:p w14:paraId="1D4C8368">
            <w:pPr>
              <w:spacing w:after="0" w:line="240" w:lineRule="auto"/>
              <w:jc w:val="center"/>
              <w:rPr>
                <w:rFonts w:hint="eastAsia" w:ascii="宋体" w:hAnsi="宋体" w:eastAsia="宋体" w:cs="Times New Roman"/>
                <w:sz w:val="18"/>
                <w:szCs w:val="18"/>
                <w:lang w:eastAsia="zh-CN"/>
              </w:rPr>
            </w:pPr>
            <w:r>
              <w:rPr>
                <w:rFonts w:hint="eastAsia" w:ascii="宋体" w:hAnsi="宋体" w:eastAsia="宋体" w:cs="Times New Roman"/>
                <w:sz w:val="18"/>
                <w:szCs w:val="18"/>
                <w:lang w:eastAsia="zh-CN"/>
              </w:rPr>
              <w:t>100%</w:t>
            </w:r>
          </w:p>
        </w:tc>
        <w:tc>
          <w:tcPr>
            <w:tcW w:w="720" w:type="dxa"/>
            <w:tcBorders>
              <w:top w:val="nil"/>
              <w:left w:val="nil"/>
              <w:bottom w:val="single" w:color="auto" w:sz="4" w:space="0"/>
              <w:right w:val="single" w:color="auto" w:sz="4" w:space="0"/>
            </w:tcBorders>
            <w:vAlign w:val="center"/>
          </w:tcPr>
          <w:p w14:paraId="1B59F580">
            <w:pPr>
              <w:spacing w:after="0" w:line="240" w:lineRule="auto"/>
              <w:jc w:val="center"/>
              <w:rPr>
                <w:rFonts w:hint="eastAsia" w:ascii="宋体" w:hAnsi="宋体" w:eastAsia="宋体" w:cs="Times New Roman"/>
                <w:sz w:val="18"/>
                <w:szCs w:val="18"/>
                <w:lang w:eastAsia="zh-CN"/>
              </w:rPr>
            </w:pPr>
            <w:r>
              <w:rPr>
                <w:rFonts w:hint="eastAsia" w:ascii="宋体" w:hAnsi="宋体" w:eastAsia="宋体" w:cs="Times New Roman"/>
                <w:sz w:val="18"/>
                <w:szCs w:val="18"/>
                <w:lang w:eastAsia="zh-CN"/>
              </w:rPr>
              <w:t>10</w:t>
            </w:r>
          </w:p>
        </w:tc>
        <w:tc>
          <w:tcPr>
            <w:tcW w:w="284" w:type="dxa"/>
            <w:tcBorders>
              <w:top w:val="nil"/>
              <w:left w:val="nil"/>
              <w:bottom w:val="nil"/>
              <w:right w:val="nil"/>
            </w:tcBorders>
            <w:noWrap/>
            <w:vAlign w:val="center"/>
          </w:tcPr>
          <w:p w14:paraId="652C00FC">
            <w:pPr>
              <w:spacing w:after="0" w:line="240" w:lineRule="auto"/>
              <w:jc w:val="center"/>
              <w:rPr>
                <w:rFonts w:hint="eastAsia" w:ascii="宋体" w:hAnsi="宋体" w:eastAsia="宋体" w:cs="Times New Roman"/>
                <w:b/>
                <w:bCs/>
                <w:sz w:val="18"/>
                <w:szCs w:val="18"/>
                <w:lang w:eastAsia="zh-CN"/>
              </w:rPr>
            </w:pPr>
          </w:p>
        </w:tc>
      </w:tr>
      <w:tr w14:paraId="35EEFA36">
        <w:tblPrEx>
          <w:tblCellMar>
            <w:top w:w="0" w:type="dxa"/>
            <w:left w:w="108" w:type="dxa"/>
            <w:bottom w:w="0" w:type="dxa"/>
            <w:right w:w="108" w:type="dxa"/>
          </w:tblCellMar>
        </w:tblPrEx>
        <w:trPr>
          <w:cantSplit/>
          <w:trHeight w:val="425" w:hRule="atLeast"/>
        </w:trPr>
        <w:tc>
          <w:tcPr>
            <w:tcW w:w="993" w:type="dxa"/>
            <w:vMerge w:val="continue"/>
            <w:tcBorders>
              <w:top w:val="nil"/>
              <w:left w:val="single" w:color="auto" w:sz="4" w:space="0"/>
              <w:bottom w:val="single" w:color="auto" w:sz="4" w:space="0"/>
              <w:right w:val="single" w:color="auto" w:sz="4" w:space="0"/>
            </w:tcBorders>
            <w:vAlign w:val="center"/>
          </w:tcPr>
          <w:p w14:paraId="6B8AFE69">
            <w:pPr>
              <w:spacing w:after="0" w:line="240" w:lineRule="auto"/>
              <w:rPr>
                <w:rFonts w:hint="eastAsia" w:ascii="宋体" w:hAnsi="宋体" w:eastAsia="宋体" w:cs="Times New Roman"/>
                <w:b/>
                <w:bCs/>
                <w:sz w:val="18"/>
                <w:szCs w:val="18"/>
                <w:lang w:eastAsia="zh-CN"/>
              </w:rPr>
            </w:pPr>
          </w:p>
        </w:tc>
        <w:tc>
          <w:tcPr>
            <w:tcW w:w="1417" w:type="dxa"/>
            <w:tcBorders>
              <w:top w:val="nil"/>
              <w:left w:val="nil"/>
              <w:bottom w:val="single" w:color="auto" w:sz="4" w:space="0"/>
              <w:right w:val="single" w:color="auto" w:sz="4" w:space="0"/>
            </w:tcBorders>
            <w:vAlign w:val="center"/>
          </w:tcPr>
          <w:p w14:paraId="4E4EE3A0">
            <w:pPr>
              <w:spacing w:after="0" w:line="240" w:lineRule="auto"/>
              <w:jc w:val="center"/>
              <w:rPr>
                <w:rFonts w:hint="eastAsia" w:ascii="宋体" w:hAnsi="宋体" w:eastAsia="宋体" w:cs="Times New Roman"/>
                <w:b/>
                <w:bCs/>
                <w:sz w:val="18"/>
                <w:szCs w:val="18"/>
                <w:lang w:eastAsia="zh-CN"/>
              </w:rPr>
            </w:pPr>
            <w:r>
              <w:rPr>
                <w:rFonts w:hint="eastAsia" w:ascii="宋体" w:hAnsi="宋体" w:eastAsia="宋体" w:cs="Times New Roman"/>
                <w:b/>
                <w:bCs/>
                <w:sz w:val="18"/>
                <w:szCs w:val="18"/>
                <w:lang w:eastAsia="zh-CN"/>
              </w:rPr>
              <w:t>本级资金</w:t>
            </w:r>
          </w:p>
        </w:tc>
        <w:tc>
          <w:tcPr>
            <w:tcW w:w="1418" w:type="dxa"/>
            <w:tcBorders>
              <w:top w:val="nil"/>
              <w:left w:val="nil"/>
              <w:bottom w:val="single" w:color="auto" w:sz="4" w:space="0"/>
              <w:right w:val="single" w:color="auto" w:sz="4" w:space="0"/>
            </w:tcBorders>
            <w:vAlign w:val="center"/>
          </w:tcPr>
          <w:p w14:paraId="437F571A">
            <w:pPr>
              <w:spacing w:after="0" w:line="240" w:lineRule="auto"/>
              <w:jc w:val="center"/>
              <w:rPr>
                <w:rFonts w:hint="eastAsia" w:ascii="宋体" w:hAnsi="宋体" w:eastAsia="宋体" w:cs="Times New Roman"/>
                <w:sz w:val="18"/>
                <w:szCs w:val="18"/>
                <w:lang w:eastAsia="zh-CN"/>
              </w:rPr>
            </w:pPr>
            <w:r>
              <w:rPr>
                <w:rFonts w:hint="eastAsia" w:ascii="宋体" w:hAnsi="宋体" w:eastAsia="宋体" w:cs="Times New Roman"/>
                <w:sz w:val="18"/>
                <w:szCs w:val="18"/>
                <w:lang w:eastAsia="zh-CN"/>
              </w:rPr>
              <w:t>96.65</w:t>
            </w:r>
          </w:p>
        </w:tc>
        <w:tc>
          <w:tcPr>
            <w:tcW w:w="1276" w:type="dxa"/>
            <w:tcBorders>
              <w:top w:val="nil"/>
              <w:left w:val="nil"/>
              <w:bottom w:val="single" w:color="auto" w:sz="4" w:space="0"/>
              <w:right w:val="single" w:color="auto" w:sz="4" w:space="0"/>
            </w:tcBorders>
            <w:vAlign w:val="center"/>
          </w:tcPr>
          <w:p w14:paraId="073D6275">
            <w:pPr>
              <w:spacing w:after="0" w:line="240" w:lineRule="auto"/>
              <w:jc w:val="center"/>
              <w:rPr>
                <w:rFonts w:hint="eastAsia" w:ascii="宋体" w:hAnsi="宋体" w:eastAsia="宋体" w:cs="Times New Roman"/>
                <w:sz w:val="18"/>
                <w:szCs w:val="18"/>
                <w:lang w:eastAsia="zh-CN"/>
              </w:rPr>
            </w:pPr>
            <w:r>
              <w:rPr>
                <w:rFonts w:hint="eastAsia" w:ascii="宋体" w:hAnsi="宋体" w:eastAsia="宋体" w:cs="Times New Roman"/>
                <w:sz w:val="18"/>
                <w:szCs w:val="18"/>
                <w:lang w:eastAsia="zh-CN"/>
              </w:rPr>
              <w:t>105.28</w:t>
            </w:r>
          </w:p>
        </w:tc>
        <w:tc>
          <w:tcPr>
            <w:tcW w:w="1842" w:type="dxa"/>
            <w:tcBorders>
              <w:top w:val="nil"/>
              <w:left w:val="nil"/>
              <w:bottom w:val="single" w:color="auto" w:sz="4" w:space="0"/>
              <w:right w:val="single" w:color="auto" w:sz="4" w:space="0"/>
            </w:tcBorders>
            <w:vAlign w:val="center"/>
          </w:tcPr>
          <w:p w14:paraId="58F6C618">
            <w:pPr>
              <w:spacing w:after="0" w:line="240" w:lineRule="auto"/>
              <w:jc w:val="center"/>
              <w:rPr>
                <w:rFonts w:hint="eastAsia" w:ascii="宋体" w:hAnsi="宋体" w:eastAsia="宋体" w:cs="Times New Roman"/>
                <w:sz w:val="18"/>
                <w:szCs w:val="18"/>
                <w:lang w:eastAsia="zh-CN"/>
              </w:rPr>
            </w:pPr>
            <w:r>
              <w:rPr>
                <w:rFonts w:hint="eastAsia" w:ascii="宋体" w:hAnsi="宋体" w:eastAsia="宋体" w:cs="Times New Roman"/>
                <w:sz w:val="18"/>
                <w:szCs w:val="18"/>
                <w:lang w:eastAsia="zh-CN"/>
              </w:rPr>
              <w:t>105.28</w:t>
            </w:r>
          </w:p>
        </w:tc>
        <w:tc>
          <w:tcPr>
            <w:tcW w:w="993" w:type="dxa"/>
            <w:tcBorders>
              <w:top w:val="nil"/>
              <w:left w:val="nil"/>
              <w:bottom w:val="single" w:color="auto" w:sz="4" w:space="0"/>
              <w:right w:val="single" w:color="auto" w:sz="4" w:space="0"/>
            </w:tcBorders>
            <w:vAlign w:val="center"/>
          </w:tcPr>
          <w:p w14:paraId="0E1A6B47">
            <w:pPr>
              <w:spacing w:after="0" w:line="240" w:lineRule="auto"/>
              <w:jc w:val="center"/>
              <w:rPr>
                <w:rFonts w:hint="eastAsia" w:ascii="宋体" w:hAnsi="宋体" w:eastAsia="宋体" w:cs="Times New Roman"/>
                <w:sz w:val="18"/>
                <w:szCs w:val="18"/>
                <w:lang w:eastAsia="zh-CN"/>
              </w:rPr>
            </w:pPr>
            <w:r>
              <w:rPr>
                <w:rFonts w:hint="eastAsia" w:ascii="宋体" w:hAnsi="宋体" w:eastAsia="宋体" w:cs="Times New Roman"/>
                <w:kern w:val="2"/>
                <w:sz w:val="18"/>
                <w:szCs w:val="18"/>
                <w:lang w:eastAsia="zh-CN"/>
              </w:rPr>
              <w:t>-</w:t>
            </w:r>
          </w:p>
        </w:tc>
        <w:tc>
          <w:tcPr>
            <w:tcW w:w="992" w:type="dxa"/>
            <w:tcBorders>
              <w:top w:val="nil"/>
              <w:left w:val="nil"/>
              <w:bottom w:val="single" w:color="auto" w:sz="4" w:space="0"/>
              <w:right w:val="single" w:color="auto" w:sz="4" w:space="0"/>
            </w:tcBorders>
            <w:vAlign w:val="center"/>
          </w:tcPr>
          <w:p w14:paraId="26922D21">
            <w:pPr>
              <w:spacing w:after="0" w:line="240" w:lineRule="auto"/>
              <w:jc w:val="center"/>
              <w:rPr>
                <w:rFonts w:hint="eastAsia" w:ascii="宋体" w:hAnsi="宋体" w:eastAsia="宋体" w:cs="Times New Roman"/>
                <w:sz w:val="18"/>
                <w:szCs w:val="18"/>
                <w:lang w:eastAsia="zh-CN"/>
              </w:rPr>
            </w:pPr>
            <w:r>
              <w:rPr>
                <w:rFonts w:hint="eastAsia" w:ascii="宋体" w:hAnsi="宋体" w:eastAsia="宋体" w:cs="Times New Roman"/>
                <w:kern w:val="2"/>
                <w:sz w:val="18"/>
                <w:szCs w:val="18"/>
                <w:lang w:eastAsia="zh-CN"/>
              </w:rPr>
              <w:t>-</w:t>
            </w:r>
          </w:p>
        </w:tc>
        <w:tc>
          <w:tcPr>
            <w:tcW w:w="720" w:type="dxa"/>
            <w:tcBorders>
              <w:top w:val="nil"/>
              <w:left w:val="nil"/>
              <w:bottom w:val="single" w:color="auto" w:sz="4" w:space="0"/>
              <w:right w:val="single" w:color="auto" w:sz="4" w:space="0"/>
            </w:tcBorders>
            <w:vAlign w:val="center"/>
          </w:tcPr>
          <w:p w14:paraId="50DA1684">
            <w:pPr>
              <w:spacing w:after="0" w:line="240" w:lineRule="auto"/>
              <w:jc w:val="center"/>
              <w:rPr>
                <w:rFonts w:hint="eastAsia" w:ascii="宋体" w:hAnsi="宋体" w:eastAsia="宋体" w:cs="Times New Roman"/>
                <w:sz w:val="18"/>
                <w:szCs w:val="18"/>
                <w:lang w:eastAsia="zh-CN"/>
              </w:rPr>
            </w:pPr>
            <w:r>
              <w:rPr>
                <w:rFonts w:hint="eastAsia" w:ascii="宋体" w:hAnsi="宋体" w:eastAsia="宋体" w:cs="Times New Roman"/>
                <w:kern w:val="2"/>
                <w:sz w:val="18"/>
                <w:szCs w:val="18"/>
                <w:lang w:eastAsia="zh-CN"/>
              </w:rPr>
              <w:t>-</w:t>
            </w:r>
          </w:p>
        </w:tc>
        <w:tc>
          <w:tcPr>
            <w:tcW w:w="284" w:type="dxa"/>
            <w:tcBorders>
              <w:top w:val="nil"/>
              <w:left w:val="nil"/>
              <w:bottom w:val="nil"/>
              <w:right w:val="nil"/>
            </w:tcBorders>
            <w:noWrap/>
            <w:vAlign w:val="center"/>
          </w:tcPr>
          <w:p w14:paraId="599EA363">
            <w:pPr>
              <w:spacing w:after="0" w:line="240" w:lineRule="auto"/>
              <w:jc w:val="center"/>
              <w:rPr>
                <w:rFonts w:hint="eastAsia" w:ascii="宋体" w:hAnsi="宋体" w:eastAsia="宋体" w:cs="Times New Roman"/>
                <w:sz w:val="18"/>
                <w:szCs w:val="18"/>
                <w:lang w:eastAsia="zh-CN"/>
              </w:rPr>
            </w:pPr>
          </w:p>
        </w:tc>
      </w:tr>
      <w:tr w14:paraId="35F88BEC">
        <w:tblPrEx>
          <w:tblCellMar>
            <w:top w:w="0" w:type="dxa"/>
            <w:left w:w="108" w:type="dxa"/>
            <w:bottom w:w="0" w:type="dxa"/>
            <w:right w:w="108" w:type="dxa"/>
          </w:tblCellMar>
        </w:tblPrEx>
        <w:trPr>
          <w:cantSplit/>
          <w:trHeight w:val="416" w:hRule="atLeast"/>
        </w:trPr>
        <w:tc>
          <w:tcPr>
            <w:tcW w:w="993" w:type="dxa"/>
            <w:vMerge w:val="continue"/>
            <w:tcBorders>
              <w:top w:val="nil"/>
              <w:left w:val="single" w:color="auto" w:sz="4" w:space="0"/>
              <w:bottom w:val="single" w:color="auto" w:sz="4" w:space="0"/>
              <w:right w:val="single" w:color="auto" w:sz="4" w:space="0"/>
            </w:tcBorders>
            <w:vAlign w:val="center"/>
          </w:tcPr>
          <w:p w14:paraId="2C01BD04">
            <w:pPr>
              <w:spacing w:after="0" w:line="240" w:lineRule="auto"/>
              <w:rPr>
                <w:rFonts w:hint="eastAsia" w:ascii="宋体" w:hAnsi="宋体" w:eastAsia="宋体" w:cs="Times New Roman"/>
                <w:b/>
                <w:bCs/>
                <w:sz w:val="18"/>
                <w:szCs w:val="18"/>
                <w:lang w:eastAsia="zh-CN"/>
              </w:rPr>
            </w:pPr>
          </w:p>
        </w:tc>
        <w:tc>
          <w:tcPr>
            <w:tcW w:w="1417" w:type="dxa"/>
            <w:tcBorders>
              <w:top w:val="nil"/>
              <w:left w:val="nil"/>
              <w:bottom w:val="single" w:color="auto" w:sz="4" w:space="0"/>
              <w:right w:val="single" w:color="auto" w:sz="4" w:space="0"/>
            </w:tcBorders>
            <w:vAlign w:val="center"/>
          </w:tcPr>
          <w:p w14:paraId="59BCFC4C">
            <w:pPr>
              <w:spacing w:after="0" w:line="240" w:lineRule="auto"/>
              <w:jc w:val="center"/>
              <w:rPr>
                <w:rFonts w:hint="eastAsia" w:ascii="宋体" w:hAnsi="宋体" w:eastAsia="宋体" w:cs="Times New Roman"/>
                <w:b/>
                <w:bCs/>
                <w:sz w:val="18"/>
                <w:szCs w:val="18"/>
                <w:lang w:eastAsia="zh-CN"/>
              </w:rPr>
            </w:pPr>
            <w:r>
              <w:rPr>
                <w:rFonts w:hint="eastAsia" w:ascii="宋体" w:hAnsi="宋体" w:eastAsia="宋体" w:cs="Times New Roman"/>
                <w:b/>
                <w:bCs/>
                <w:sz w:val="18"/>
                <w:szCs w:val="18"/>
                <w:lang w:eastAsia="zh-CN"/>
              </w:rPr>
              <w:t>其他资金</w:t>
            </w:r>
          </w:p>
        </w:tc>
        <w:tc>
          <w:tcPr>
            <w:tcW w:w="1418" w:type="dxa"/>
            <w:tcBorders>
              <w:top w:val="nil"/>
              <w:left w:val="nil"/>
              <w:bottom w:val="single" w:color="auto" w:sz="4" w:space="0"/>
              <w:right w:val="single" w:color="auto" w:sz="4" w:space="0"/>
            </w:tcBorders>
            <w:vAlign w:val="center"/>
          </w:tcPr>
          <w:p w14:paraId="4227D224">
            <w:pPr>
              <w:spacing w:after="0" w:line="240" w:lineRule="auto"/>
              <w:jc w:val="center"/>
              <w:rPr>
                <w:rFonts w:hint="eastAsia" w:ascii="宋体" w:hAnsi="宋体" w:eastAsia="宋体" w:cs="Times New Roman"/>
                <w:sz w:val="18"/>
                <w:szCs w:val="18"/>
                <w:lang w:eastAsia="zh-CN"/>
              </w:rPr>
            </w:pPr>
            <w:r>
              <w:rPr>
                <w:rFonts w:hint="eastAsia" w:ascii="宋体" w:hAnsi="宋体" w:eastAsia="宋体" w:cs="Times New Roman"/>
                <w:sz w:val="18"/>
                <w:szCs w:val="18"/>
                <w:lang w:eastAsia="zh-CN"/>
              </w:rPr>
              <w:t>0.00</w:t>
            </w:r>
          </w:p>
        </w:tc>
        <w:tc>
          <w:tcPr>
            <w:tcW w:w="1276" w:type="dxa"/>
            <w:tcBorders>
              <w:top w:val="nil"/>
              <w:left w:val="nil"/>
              <w:bottom w:val="single" w:color="auto" w:sz="4" w:space="0"/>
              <w:right w:val="single" w:color="auto" w:sz="4" w:space="0"/>
            </w:tcBorders>
            <w:vAlign w:val="center"/>
          </w:tcPr>
          <w:p w14:paraId="0CB58373">
            <w:pPr>
              <w:spacing w:after="0" w:line="240" w:lineRule="auto"/>
              <w:jc w:val="center"/>
              <w:rPr>
                <w:rFonts w:hint="eastAsia" w:ascii="宋体" w:hAnsi="宋体" w:eastAsia="宋体" w:cs="Times New Roman"/>
                <w:sz w:val="18"/>
                <w:szCs w:val="18"/>
                <w:lang w:eastAsia="zh-CN"/>
              </w:rPr>
            </w:pPr>
            <w:r>
              <w:rPr>
                <w:rFonts w:hint="eastAsia" w:ascii="宋体" w:hAnsi="宋体" w:eastAsia="宋体" w:cs="Times New Roman"/>
                <w:sz w:val="18"/>
                <w:szCs w:val="18"/>
                <w:lang w:eastAsia="zh-CN"/>
              </w:rPr>
              <w:t>0.00</w:t>
            </w:r>
          </w:p>
        </w:tc>
        <w:tc>
          <w:tcPr>
            <w:tcW w:w="1842" w:type="dxa"/>
            <w:tcBorders>
              <w:top w:val="nil"/>
              <w:left w:val="nil"/>
              <w:bottom w:val="single" w:color="auto" w:sz="4" w:space="0"/>
              <w:right w:val="single" w:color="auto" w:sz="4" w:space="0"/>
            </w:tcBorders>
            <w:vAlign w:val="center"/>
          </w:tcPr>
          <w:p w14:paraId="2A809A7C">
            <w:pPr>
              <w:spacing w:after="0" w:line="240" w:lineRule="auto"/>
              <w:jc w:val="center"/>
              <w:rPr>
                <w:rFonts w:hint="eastAsia" w:ascii="宋体" w:hAnsi="宋体" w:eastAsia="宋体" w:cs="Times New Roman"/>
                <w:sz w:val="18"/>
                <w:szCs w:val="18"/>
                <w:lang w:eastAsia="zh-CN"/>
              </w:rPr>
            </w:pPr>
            <w:r>
              <w:rPr>
                <w:rFonts w:hint="eastAsia" w:ascii="宋体" w:hAnsi="宋体" w:eastAsia="宋体" w:cs="Times New Roman"/>
                <w:sz w:val="18"/>
                <w:szCs w:val="18"/>
                <w:lang w:eastAsia="zh-CN"/>
              </w:rPr>
              <w:t>0.00</w:t>
            </w:r>
          </w:p>
        </w:tc>
        <w:tc>
          <w:tcPr>
            <w:tcW w:w="993" w:type="dxa"/>
            <w:tcBorders>
              <w:top w:val="nil"/>
              <w:left w:val="nil"/>
              <w:bottom w:val="single" w:color="auto" w:sz="4" w:space="0"/>
              <w:right w:val="single" w:color="auto" w:sz="4" w:space="0"/>
            </w:tcBorders>
            <w:vAlign w:val="center"/>
          </w:tcPr>
          <w:p w14:paraId="22B35A5F">
            <w:pPr>
              <w:spacing w:after="0" w:line="240" w:lineRule="auto"/>
              <w:jc w:val="center"/>
              <w:rPr>
                <w:rFonts w:hint="eastAsia" w:ascii="宋体" w:hAnsi="宋体" w:eastAsia="宋体" w:cs="Times New Roman"/>
                <w:sz w:val="18"/>
                <w:szCs w:val="18"/>
                <w:lang w:eastAsia="zh-CN"/>
              </w:rPr>
            </w:pPr>
            <w:r>
              <w:rPr>
                <w:rFonts w:hint="eastAsia" w:ascii="宋体" w:hAnsi="宋体" w:eastAsia="宋体" w:cs="Times New Roman"/>
                <w:kern w:val="2"/>
                <w:sz w:val="18"/>
                <w:szCs w:val="18"/>
                <w:lang w:eastAsia="zh-CN"/>
              </w:rPr>
              <w:t>-</w:t>
            </w:r>
          </w:p>
        </w:tc>
        <w:tc>
          <w:tcPr>
            <w:tcW w:w="992" w:type="dxa"/>
            <w:tcBorders>
              <w:top w:val="nil"/>
              <w:left w:val="nil"/>
              <w:bottom w:val="single" w:color="auto" w:sz="4" w:space="0"/>
              <w:right w:val="single" w:color="auto" w:sz="4" w:space="0"/>
            </w:tcBorders>
            <w:vAlign w:val="center"/>
          </w:tcPr>
          <w:p w14:paraId="559EA163">
            <w:pPr>
              <w:spacing w:after="0" w:line="240" w:lineRule="auto"/>
              <w:jc w:val="center"/>
              <w:rPr>
                <w:rFonts w:hint="eastAsia" w:ascii="宋体" w:hAnsi="宋体" w:eastAsia="宋体" w:cs="Times New Roman"/>
                <w:sz w:val="18"/>
                <w:szCs w:val="18"/>
                <w:lang w:eastAsia="zh-CN"/>
              </w:rPr>
            </w:pPr>
            <w:r>
              <w:rPr>
                <w:rFonts w:hint="eastAsia" w:ascii="宋体" w:hAnsi="宋体" w:eastAsia="宋体" w:cs="Times New Roman"/>
                <w:kern w:val="2"/>
                <w:sz w:val="18"/>
                <w:szCs w:val="18"/>
                <w:lang w:eastAsia="zh-CN"/>
              </w:rPr>
              <w:t>-</w:t>
            </w:r>
          </w:p>
        </w:tc>
        <w:tc>
          <w:tcPr>
            <w:tcW w:w="720" w:type="dxa"/>
            <w:tcBorders>
              <w:top w:val="nil"/>
              <w:left w:val="nil"/>
              <w:bottom w:val="single" w:color="auto" w:sz="4" w:space="0"/>
              <w:right w:val="single" w:color="auto" w:sz="4" w:space="0"/>
            </w:tcBorders>
            <w:vAlign w:val="center"/>
          </w:tcPr>
          <w:p w14:paraId="41A2399E">
            <w:pPr>
              <w:spacing w:after="0" w:line="240" w:lineRule="auto"/>
              <w:jc w:val="center"/>
              <w:rPr>
                <w:rFonts w:hint="eastAsia" w:ascii="宋体" w:hAnsi="宋体" w:eastAsia="宋体" w:cs="Times New Roman"/>
                <w:sz w:val="18"/>
                <w:szCs w:val="18"/>
                <w:lang w:eastAsia="zh-CN"/>
              </w:rPr>
            </w:pPr>
            <w:r>
              <w:rPr>
                <w:rFonts w:hint="eastAsia" w:ascii="宋体" w:hAnsi="宋体" w:eastAsia="宋体" w:cs="Times New Roman"/>
                <w:kern w:val="2"/>
                <w:sz w:val="18"/>
                <w:szCs w:val="18"/>
                <w:lang w:eastAsia="zh-CN"/>
              </w:rPr>
              <w:t>-</w:t>
            </w:r>
          </w:p>
        </w:tc>
        <w:tc>
          <w:tcPr>
            <w:tcW w:w="284" w:type="dxa"/>
            <w:tcBorders>
              <w:top w:val="nil"/>
              <w:left w:val="nil"/>
              <w:bottom w:val="nil"/>
              <w:right w:val="nil"/>
            </w:tcBorders>
            <w:noWrap/>
            <w:vAlign w:val="center"/>
          </w:tcPr>
          <w:p w14:paraId="07893666">
            <w:pPr>
              <w:spacing w:after="0" w:line="240" w:lineRule="auto"/>
              <w:jc w:val="center"/>
              <w:rPr>
                <w:rFonts w:hint="eastAsia" w:ascii="宋体" w:hAnsi="宋体" w:eastAsia="宋体" w:cs="Times New Roman"/>
                <w:sz w:val="18"/>
                <w:szCs w:val="18"/>
                <w:lang w:eastAsia="zh-CN"/>
              </w:rPr>
            </w:pPr>
          </w:p>
        </w:tc>
      </w:tr>
      <w:tr w14:paraId="1D8DCFCB">
        <w:tblPrEx>
          <w:tblCellMar>
            <w:top w:w="0" w:type="dxa"/>
            <w:left w:w="108" w:type="dxa"/>
            <w:bottom w:w="0" w:type="dxa"/>
            <w:right w:w="108" w:type="dxa"/>
          </w:tblCellMar>
        </w:tblPrEx>
        <w:trPr>
          <w:cantSplit/>
          <w:trHeight w:val="415" w:hRule="atLeast"/>
        </w:trPr>
        <w:tc>
          <w:tcPr>
            <w:tcW w:w="993" w:type="dxa"/>
            <w:vMerge w:val="continue"/>
            <w:tcBorders>
              <w:top w:val="nil"/>
              <w:left w:val="single" w:color="auto" w:sz="4" w:space="0"/>
              <w:bottom w:val="single" w:color="auto" w:sz="4" w:space="0"/>
              <w:right w:val="single" w:color="auto" w:sz="4" w:space="0"/>
            </w:tcBorders>
            <w:vAlign w:val="center"/>
          </w:tcPr>
          <w:p w14:paraId="1B1C9E4D">
            <w:pPr>
              <w:spacing w:after="0" w:line="240" w:lineRule="auto"/>
              <w:rPr>
                <w:rFonts w:hint="eastAsia" w:ascii="宋体" w:hAnsi="宋体" w:eastAsia="宋体" w:cs="Times New Roman"/>
                <w:b/>
                <w:bCs/>
                <w:sz w:val="18"/>
                <w:szCs w:val="18"/>
                <w:lang w:eastAsia="zh-CN"/>
              </w:rPr>
            </w:pPr>
          </w:p>
        </w:tc>
        <w:tc>
          <w:tcPr>
            <w:tcW w:w="1417" w:type="dxa"/>
            <w:tcBorders>
              <w:top w:val="nil"/>
              <w:left w:val="nil"/>
              <w:bottom w:val="single" w:color="auto" w:sz="4" w:space="0"/>
              <w:right w:val="single" w:color="auto" w:sz="4" w:space="0"/>
            </w:tcBorders>
            <w:vAlign w:val="center"/>
          </w:tcPr>
          <w:p w14:paraId="33F1A0FA">
            <w:pPr>
              <w:spacing w:after="0" w:line="240" w:lineRule="auto"/>
              <w:jc w:val="center"/>
              <w:rPr>
                <w:rFonts w:hint="eastAsia" w:ascii="宋体" w:hAnsi="宋体" w:eastAsia="宋体" w:cs="Times New Roman"/>
                <w:b/>
                <w:bCs/>
                <w:sz w:val="18"/>
                <w:szCs w:val="18"/>
                <w:lang w:eastAsia="zh-CN"/>
              </w:rPr>
            </w:pPr>
            <w:r>
              <w:rPr>
                <w:rFonts w:hint="eastAsia" w:ascii="宋体" w:hAnsi="宋体" w:eastAsia="宋体" w:cs="Times New Roman"/>
                <w:b/>
                <w:bCs/>
                <w:sz w:val="18"/>
                <w:szCs w:val="18"/>
                <w:lang w:eastAsia="zh-CN"/>
              </w:rPr>
              <w:t>合计</w:t>
            </w:r>
          </w:p>
        </w:tc>
        <w:tc>
          <w:tcPr>
            <w:tcW w:w="1418" w:type="dxa"/>
            <w:tcBorders>
              <w:top w:val="nil"/>
              <w:left w:val="nil"/>
              <w:bottom w:val="single" w:color="auto" w:sz="4" w:space="0"/>
              <w:right w:val="single" w:color="auto" w:sz="4" w:space="0"/>
            </w:tcBorders>
            <w:vAlign w:val="center"/>
          </w:tcPr>
          <w:p w14:paraId="57B968B7">
            <w:pPr>
              <w:spacing w:after="0" w:line="240" w:lineRule="auto"/>
              <w:jc w:val="center"/>
              <w:rPr>
                <w:rFonts w:hint="eastAsia" w:ascii="宋体" w:hAnsi="宋体" w:eastAsia="宋体" w:cs="Times New Roman"/>
                <w:sz w:val="18"/>
                <w:szCs w:val="18"/>
                <w:lang w:eastAsia="zh-CN"/>
              </w:rPr>
            </w:pPr>
            <w:r>
              <w:rPr>
                <w:rFonts w:hint="eastAsia" w:ascii="宋体" w:hAnsi="宋体" w:eastAsia="宋体" w:cs="Times New Roman"/>
                <w:sz w:val="18"/>
                <w:szCs w:val="18"/>
                <w:lang w:eastAsia="zh-CN"/>
              </w:rPr>
              <w:t>96.65</w:t>
            </w:r>
          </w:p>
        </w:tc>
        <w:tc>
          <w:tcPr>
            <w:tcW w:w="1276" w:type="dxa"/>
            <w:tcBorders>
              <w:top w:val="nil"/>
              <w:left w:val="nil"/>
              <w:bottom w:val="single" w:color="auto" w:sz="4" w:space="0"/>
              <w:right w:val="single" w:color="auto" w:sz="4" w:space="0"/>
            </w:tcBorders>
            <w:vAlign w:val="center"/>
          </w:tcPr>
          <w:p w14:paraId="7EF322C5">
            <w:pPr>
              <w:spacing w:after="0" w:line="240" w:lineRule="auto"/>
              <w:jc w:val="center"/>
              <w:rPr>
                <w:rFonts w:hint="eastAsia" w:ascii="宋体" w:hAnsi="宋体" w:eastAsia="宋体" w:cs="Times New Roman"/>
                <w:sz w:val="18"/>
                <w:szCs w:val="18"/>
                <w:lang w:eastAsia="zh-CN"/>
              </w:rPr>
            </w:pPr>
            <w:r>
              <w:rPr>
                <w:rFonts w:hint="eastAsia" w:ascii="宋体" w:hAnsi="宋体" w:eastAsia="宋体" w:cs="Times New Roman"/>
                <w:sz w:val="18"/>
                <w:szCs w:val="18"/>
                <w:lang w:eastAsia="zh-CN"/>
              </w:rPr>
              <w:t>105.28</w:t>
            </w:r>
          </w:p>
        </w:tc>
        <w:tc>
          <w:tcPr>
            <w:tcW w:w="1842" w:type="dxa"/>
            <w:tcBorders>
              <w:top w:val="nil"/>
              <w:left w:val="nil"/>
              <w:bottom w:val="single" w:color="auto" w:sz="4" w:space="0"/>
              <w:right w:val="single" w:color="auto" w:sz="4" w:space="0"/>
            </w:tcBorders>
            <w:vAlign w:val="center"/>
          </w:tcPr>
          <w:p w14:paraId="5089EE27">
            <w:pPr>
              <w:spacing w:after="0" w:line="240" w:lineRule="auto"/>
              <w:jc w:val="center"/>
              <w:rPr>
                <w:rFonts w:hint="eastAsia" w:ascii="宋体" w:hAnsi="宋体" w:eastAsia="宋体" w:cs="Times New Roman"/>
                <w:sz w:val="18"/>
                <w:szCs w:val="18"/>
                <w:lang w:eastAsia="zh-CN"/>
              </w:rPr>
            </w:pPr>
            <w:r>
              <w:rPr>
                <w:rFonts w:hint="eastAsia" w:ascii="宋体" w:hAnsi="宋体" w:eastAsia="宋体" w:cs="Times New Roman"/>
                <w:sz w:val="18"/>
                <w:szCs w:val="18"/>
                <w:lang w:eastAsia="zh-CN"/>
              </w:rPr>
              <w:t>105.28</w:t>
            </w:r>
          </w:p>
        </w:tc>
        <w:tc>
          <w:tcPr>
            <w:tcW w:w="993" w:type="dxa"/>
            <w:tcBorders>
              <w:top w:val="nil"/>
              <w:left w:val="nil"/>
              <w:bottom w:val="single" w:color="auto" w:sz="4" w:space="0"/>
              <w:right w:val="single" w:color="auto" w:sz="4" w:space="0"/>
            </w:tcBorders>
            <w:vAlign w:val="center"/>
          </w:tcPr>
          <w:p w14:paraId="5682417B">
            <w:pPr>
              <w:spacing w:after="0" w:line="240" w:lineRule="auto"/>
              <w:jc w:val="center"/>
              <w:rPr>
                <w:rFonts w:hint="eastAsia" w:ascii="宋体" w:hAnsi="宋体" w:eastAsia="宋体" w:cs="Times New Roman"/>
                <w:sz w:val="18"/>
                <w:szCs w:val="18"/>
                <w:lang w:eastAsia="zh-CN"/>
              </w:rPr>
            </w:pPr>
            <w:r>
              <w:rPr>
                <w:rFonts w:hint="eastAsia" w:ascii="宋体" w:hAnsi="宋体" w:eastAsia="宋体" w:cs="Times New Roman"/>
                <w:sz w:val="18"/>
                <w:szCs w:val="18"/>
                <w:lang w:eastAsia="zh-CN"/>
              </w:rPr>
              <w:t>-</w:t>
            </w:r>
          </w:p>
        </w:tc>
        <w:tc>
          <w:tcPr>
            <w:tcW w:w="992" w:type="dxa"/>
            <w:tcBorders>
              <w:top w:val="nil"/>
              <w:left w:val="nil"/>
              <w:bottom w:val="single" w:color="auto" w:sz="4" w:space="0"/>
              <w:right w:val="single" w:color="auto" w:sz="4" w:space="0"/>
            </w:tcBorders>
            <w:vAlign w:val="center"/>
          </w:tcPr>
          <w:p w14:paraId="5E16FA6D">
            <w:pPr>
              <w:spacing w:after="0" w:line="240" w:lineRule="auto"/>
              <w:jc w:val="center"/>
              <w:rPr>
                <w:rFonts w:hint="eastAsia" w:ascii="宋体" w:hAnsi="宋体" w:eastAsia="宋体" w:cs="Times New Roman"/>
                <w:sz w:val="18"/>
                <w:szCs w:val="18"/>
                <w:lang w:eastAsia="zh-CN"/>
              </w:rPr>
            </w:pPr>
            <w:r>
              <w:rPr>
                <w:rFonts w:hint="eastAsia" w:ascii="宋体" w:hAnsi="宋体" w:eastAsia="宋体" w:cs="Times New Roman"/>
                <w:sz w:val="18"/>
                <w:szCs w:val="18"/>
                <w:lang w:eastAsia="zh-CN"/>
              </w:rPr>
              <w:t>-</w:t>
            </w:r>
          </w:p>
        </w:tc>
        <w:tc>
          <w:tcPr>
            <w:tcW w:w="720" w:type="dxa"/>
            <w:tcBorders>
              <w:top w:val="nil"/>
              <w:left w:val="nil"/>
              <w:bottom w:val="single" w:color="auto" w:sz="4" w:space="0"/>
              <w:right w:val="single" w:color="auto" w:sz="4" w:space="0"/>
            </w:tcBorders>
            <w:vAlign w:val="center"/>
          </w:tcPr>
          <w:p w14:paraId="32921345">
            <w:pPr>
              <w:spacing w:after="0" w:line="240" w:lineRule="auto"/>
              <w:jc w:val="center"/>
              <w:rPr>
                <w:rFonts w:hint="eastAsia" w:ascii="宋体" w:hAnsi="宋体" w:eastAsia="宋体" w:cs="Times New Roman"/>
                <w:sz w:val="18"/>
                <w:szCs w:val="18"/>
                <w:lang w:eastAsia="zh-CN"/>
              </w:rPr>
            </w:pPr>
            <w:r>
              <w:rPr>
                <w:rFonts w:hint="eastAsia" w:ascii="宋体" w:hAnsi="宋体" w:eastAsia="宋体" w:cs="Times New Roman"/>
                <w:sz w:val="18"/>
                <w:szCs w:val="18"/>
                <w:lang w:eastAsia="zh-CN"/>
              </w:rPr>
              <w:t>-</w:t>
            </w:r>
          </w:p>
        </w:tc>
        <w:tc>
          <w:tcPr>
            <w:tcW w:w="284" w:type="dxa"/>
            <w:tcBorders>
              <w:top w:val="nil"/>
              <w:left w:val="nil"/>
              <w:bottom w:val="nil"/>
              <w:right w:val="nil"/>
            </w:tcBorders>
            <w:noWrap/>
            <w:vAlign w:val="center"/>
          </w:tcPr>
          <w:p w14:paraId="28FA1895">
            <w:pPr>
              <w:spacing w:after="0" w:line="240" w:lineRule="auto"/>
              <w:jc w:val="center"/>
              <w:rPr>
                <w:rFonts w:hint="eastAsia" w:ascii="宋体" w:hAnsi="宋体" w:eastAsia="宋体" w:cs="Times New Roman"/>
                <w:sz w:val="18"/>
                <w:szCs w:val="18"/>
                <w:lang w:eastAsia="zh-CN"/>
              </w:rPr>
            </w:pPr>
          </w:p>
        </w:tc>
      </w:tr>
      <w:tr w14:paraId="7EEE9F4A">
        <w:tblPrEx>
          <w:tblCellMar>
            <w:top w:w="0" w:type="dxa"/>
            <w:left w:w="108" w:type="dxa"/>
            <w:bottom w:w="0" w:type="dxa"/>
            <w:right w:w="108" w:type="dxa"/>
          </w:tblCellMar>
        </w:tblPrEx>
        <w:trPr>
          <w:cantSplit/>
          <w:trHeight w:val="341" w:hRule="atLeast"/>
        </w:trPr>
        <w:tc>
          <w:tcPr>
            <w:tcW w:w="993" w:type="dxa"/>
            <w:vMerge w:val="restart"/>
            <w:tcBorders>
              <w:top w:val="nil"/>
              <w:left w:val="single" w:color="auto" w:sz="4" w:space="0"/>
              <w:bottom w:val="single" w:color="auto" w:sz="4" w:space="0"/>
              <w:right w:val="single" w:color="auto" w:sz="4" w:space="0"/>
            </w:tcBorders>
            <w:vAlign w:val="center"/>
          </w:tcPr>
          <w:p w14:paraId="6469530B">
            <w:pPr>
              <w:spacing w:after="0" w:line="240" w:lineRule="auto"/>
              <w:jc w:val="center"/>
              <w:rPr>
                <w:rFonts w:hint="eastAsia" w:ascii="宋体" w:hAnsi="宋体" w:eastAsia="宋体" w:cs="Times New Roman"/>
                <w:b/>
                <w:bCs/>
                <w:sz w:val="18"/>
                <w:szCs w:val="18"/>
                <w:lang w:eastAsia="zh-CN"/>
              </w:rPr>
            </w:pPr>
            <w:r>
              <w:rPr>
                <w:rFonts w:hint="eastAsia" w:ascii="宋体" w:hAnsi="宋体" w:eastAsia="宋体" w:cs="Times New Roman"/>
                <w:b/>
                <w:bCs/>
                <w:sz w:val="18"/>
                <w:szCs w:val="18"/>
                <w:lang w:eastAsia="zh-CN"/>
              </w:rPr>
              <w:t>年度总体目标</w:t>
            </w:r>
          </w:p>
        </w:tc>
        <w:tc>
          <w:tcPr>
            <w:tcW w:w="4111" w:type="dxa"/>
            <w:gridSpan w:val="3"/>
            <w:tcBorders>
              <w:top w:val="single" w:color="auto" w:sz="4" w:space="0"/>
              <w:left w:val="nil"/>
              <w:bottom w:val="single" w:color="auto" w:sz="4" w:space="0"/>
              <w:right w:val="single" w:color="auto" w:sz="4" w:space="0"/>
            </w:tcBorders>
            <w:noWrap/>
            <w:vAlign w:val="center"/>
          </w:tcPr>
          <w:p w14:paraId="37A3C4F5">
            <w:pPr>
              <w:spacing w:after="0" w:line="240" w:lineRule="auto"/>
              <w:jc w:val="center"/>
              <w:rPr>
                <w:rFonts w:hint="eastAsia" w:ascii="宋体" w:hAnsi="宋体" w:eastAsia="宋体" w:cs="Times New Roman"/>
                <w:b/>
                <w:bCs/>
                <w:sz w:val="18"/>
                <w:szCs w:val="18"/>
                <w:lang w:eastAsia="zh-CN"/>
              </w:rPr>
            </w:pPr>
            <w:r>
              <w:rPr>
                <w:rFonts w:hint="eastAsia" w:ascii="宋体" w:hAnsi="宋体" w:eastAsia="宋体" w:cs="Times New Roman"/>
                <w:b/>
                <w:bCs/>
                <w:sz w:val="18"/>
                <w:szCs w:val="18"/>
                <w:lang w:eastAsia="zh-CN"/>
              </w:rPr>
              <w:t>预期目标</w:t>
            </w:r>
          </w:p>
        </w:tc>
        <w:tc>
          <w:tcPr>
            <w:tcW w:w="4547" w:type="dxa"/>
            <w:gridSpan w:val="4"/>
            <w:tcBorders>
              <w:top w:val="single" w:color="auto" w:sz="4" w:space="0"/>
              <w:left w:val="nil"/>
              <w:bottom w:val="single" w:color="auto" w:sz="4" w:space="0"/>
              <w:right w:val="single" w:color="auto" w:sz="4" w:space="0"/>
            </w:tcBorders>
            <w:noWrap/>
            <w:vAlign w:val="center"/>
          </w:tcPr>
          <w:p w14:paraId="20C7BD6D">
            <w:pPr>
              <w:spacing w:after="0" w:line="240" w:lineRule="auto"/>
              <w:jc w:val="center"/>
              <w:rPr>
                <w:rFonts w:hint="eastAsia" w:ascii="宋体" w:hAnsi="宋体" w:eastAsia="宋体" w:cs="Times New Roman"/>
                <w:b/>
                <w:bCs/>
                <w:sz w:val="18"/>
                <w:szCs w:val="18"/>
                <w:lang w:eastAsia="zh-CN"/>
              </w:rPr>
            </w:pPr>
            <w:r>
              <w:rPr>
                <w:rFonts w:hint="eastAsia" w:ascii="宋体" w:hAnsi="宋体" w:eastAsia="宋体" w:cs="Times New Roman"/>
                <w:b/>
                <w:bCs/>
                <w:sz w:val="18"/>
                <w:szCs w:val="18"/>
                <w:lang w:eastAsia="zh-CN"/>
              </w:rPr>
              <w:t>实际完成情况</w:t>
            </w:r>
          </w:p>
        </w:tc>
        <w:tc>
          <w:tcPr>
            <w:tcW w:w="284" w:type="dxa"/>
            <w:tcBorders>
              <w:top w:val="nil"/>
              <w:left w:val="nil"/>
              <w:bottom w:val="nil"/>
              <w:right w:val="nil"/>
            </w:tcBorders>
            <w:noWrap/>
            <w:vAlign w:val="center"/>
          </w:tcPr>
          <w:p w14:paraId="29BAD0F2">
            <w:pPr>
              <w:spacing w:after="0" w:line="240" w:lineRule="auto"/>
              <w:rPr>
                <w:rFonts w:hint="eastAsia" w:ascii="宋体" w:hAnsi="宋体" w:eastAsia="宋体" w:cs="Times New Roman"/>
                <w:b/>
                <w:bCs/>
                <w:sz w:val="18"/>
                <w:szCs w:val="18"/>
                <w:lang w:eastAsia="zh-CN"/>
              </w:rPr>
            </w:pPr>
          </w:p>
        </w:tc>
      </w:tr>
      <w:tr w14:paraId="304E6BF1">
        <w:tblPrEx>
          <w:tblCellMar>
            <w:top w:w="0" w:type="dxa"/>
            <w:left w:w="108" w:type="dxa"/>
            <w:bottom w:w="0" w:type="dxa"/>
            <w:right w:w="108" w:type="dxa"/>
          </w:tblCellMar>
        </w:tblPrEx>
        <w:trPr>
          <w:cantSplit/>
          <w:trHeight w:val="705" w:hRule="atLeast"/>
        </w:trPr>
        <w:tc>
          <w:tcPr>
            <w:tcW w:w="993" w:type="dxa"/>
            <w:vMerge w:val="continue"/>
            <w:tcBorders>
              <w:top w:val="nil"/>
              <w:left w:val="single" w:color="auto" w:sz="4" w:space="0"/>
              <w:bottom w:val="single" w:color="auto" w:sz="4" w:space="0"/>
              <w:right w:val="single" w:color="auto" w:sz="4" w:space="0"/>
            </w:tcBorders>
            <w:vAlign w:val="center"/>
          </w:tcPr>
          <w:p w14:paraId="2361CFBF">
            <w:pPr>
              <w:spacing w:after="0" w:line="240" w:lineRule="auto"/>
              <w:rPr>
                <w:rFonts w:hint="eastAsia" w:ascii="宋体" w:hAnsi="宋体" w:eastAsia="宋体" w:cs="Times New Roman"/>
                <w:b/>
                <w:bCs/>
                <w:sz w:val="18"/>
                <w:szCs w:val="18"/>
                <w:lang w:eastAsia="zh-CN"/>
              </w:rPr>
            </w:pPr>
          </w:p>
        </w:tc>
        <w:tc>
          <w:tcPr>
            <w:tcW w:w="4111" w:type="dxa"/>
            <w:gridSpan w:val="3"/>
            <w:tcBorders>
              <w:top w:val="single" w:color="auto" w:sz="4" w:space="0"/>
              <w:left w:val="nil"/>
              <w:bottom w:val="single" w:color="auto" w:sz="4" w:space="0"/>
              <w:right w:val="single" w:color="auto" w:sz="4" w:space="0"/>
            </w:tcBorders>
          </w:tcPr>
          <w:p w14:paraId="7A6BA195">
            <w:pPr>
              <w:spacing w:after="0" w:line="240" w:lineRule="auto"/>
              <w:rPr>
                <w:rFonts w:hint="eastAsia" w:ascii="宋体" w:hAnsi="宋体" w:eastAsia="宋体" w:cs="Times New Roman"/>
                <w:sz w:val="18"/>
                <w:szCs w:val="18"/>
                <w:lang w:eastAsia="zh-CN"/>
              </w:rPr>
            </w:pPr>
            <w:r>
              <w:rPr>
                <w:rFonts w:hint="eastAsia" w:ascii="宋体" w:hAnsi="宋体" w:eastAsia="宋体" w:cs="Times New Roman"/>
                <w:sz w:val="18"/>
                <w:szCs w:val="18"/>
                <w:lang w:eastAsia="zh-CN"/>
              </w:rPr>
              <w:t>认真落实自治区、州红十字会工作要求，聚焦“三救三献”主责主业，充分发挥党和政府在人道领域助手和联系群众桥梁纽带作用，经常性开展应急救援演练活动，全年开展防灾避险、应急救护体验、群众性演练等活动大于等于4次；做实“红十字博爱送温暖”活动，慰问辖区大于等于100户的困难人群；加大大病救助工作力度，切实做到“救急、救困”，年内救助困难学生和困难家庭大病患者大于等于200人。开展应急救护培训“五进”工作，深入社区、学校、单位举办群众性现场应急救护讲座，培训各类人员大于等于3000人次。</w:t>
            </w:r>
          </w:p>
        </w:tc>
        <w:tc>
          <w:tcPr>
            <w:tcW w:w="4547" w:type="dxa"/>
            <w:gridSpan w:val="4"/>
            <w:tcBorders>
              <w:top w:val="single" w:color="auto" w:sz="4" w:space="0"/>
              <w:left w:val="nil"/>
              <w:bottom w:val="single" w:color="auto" w:sz="4" w:space="0"/>
              <w:right w:val="single" w:color="auto" w:sz="4" w:space="0"/>
            </w:tcBorders>
          </w:tcPr>
          <w:p w14:paraId="0E22D11C">
            <w:pPr>
              <w:spacing w:after="0" w:line="240" w:lineRule="auto"/>
              <w:rPr>
                <w:rFonts w:hint="eastAsia" w:ascii="宋体" w:hAnsi="宋体" w:eastAsia="宋体" w:cs="Times New Roman"/>
                <w:sz w:val="18"/>
                <w:szCs w:val="18"/>
                <w:lang w:eastAsia="zh-CN"/>
              </w:rPr>
            </w:pPr>
            <w:r>
              <w:rPr>
                <w:rFonts w:hint="eastAsia" w:ascii="宋体" w:hAnsi="宋体" w:eastAsia="宋体" w:cs="Times New Roman"/>
                <w:sz w:val="18"/>
                <w:szCs w:val="18"/>
                <w:lang w:eastAsia="zh-CN"/>
              </w:rPr>
              <w:t>认真落实自治区、州红十字会工作要求，聚焦“三救三献”主责主业，充分发挥党和政府在人道领域助手和联系群众桥梁纽带作用，经常性开展应急救援演练活动，全年开展防灾避险、应急救护体验、群众性演练等活动大于等于4次；做实“红十字博爱送温暖”活动，慰问辖区大于等于100户的困难人群；加大大病救助工作力度，切实做到“救急、救困”，年内救助困难学生和困难家庭大病患者大于等于200人。开展应急救护培训“五进”工作，深入社区、学校、单位举办群众性现场应急救护讲座，培训各类人员大于等于3000人次。</w:t>
            </w:r>
          </w:p>
        </w:tc>
        <w:tc>
          <w:tcPr>
            <w:tcW w:w="284" w:type="dxa"/>
            <w:tcBorders>
              <w:top w:val="nil"/>
              <w:left w:val="nil"/>
              <w:bottom w:val="nil"/>
              <w:right w:val="nil"/>
            </w:tcBorders>
            <w:noWrap/>
            <w:vAlign w:val="center"/>
          </w:tcPr>
          <w:p w14:paraId="68BCDBF0">
            <w:pPr>
              <w:spacing w:after="0" w:line="240" w:lineRule="auto"/>
              <w:rPr>
                <w:rFonts w:hint="eastAsia" w:ascii="宋体" w:hAnsi="宋体" w:eastAsia="宋体" w:cs="Times New Roman"/>
                <w:sz w:val="18"/>
                <w:szCs w:val="18"/>
                <w:lang w:eastAsia="zh-CN"/>
              </w:rPr>
            </w:pPr>
          </w:p>
        </w:tc>
      </w:tr>
      <w:tr w14:paraId="5E420493">
        <w:tblPrEx>
          <w:tblCellMar>
            <w:top w:w="0" w:type="dxa"/>
            <w:left w:w="108" w:type="dxa"/>
            <w:bottom w:w="0" w:type="dxa"/>
            <w:right w:w="108" w:type="dxa"/>
          </w:tblCellMar>
        </w:tblPrEx>
        <w:trPr>
          <w:cantSplit/>
          <w:trHeight w:val="716" w:hRule="atLeast"/>
        </w:trPr>
        <w:tc>
          <w:tcPr>
            <w:tcW w:w="993" w:type="dxa"/>
            <w:tcBorders>
              <w:top w:val="single" w:color="auto" w:sz="4" w:space="0"/>
              <w:left w:val="single" w:color="auto" w:sz="4" w:space="0"/>
              <w:bottom w:val="single" w:color="auto" w:sz="4" w:space="0"/>
              <w:right w:val="single" w:color="auto" w:sz="4" w:space="0"/>
            </w:tcBorders>
            <w:vAlign w:val="center"/>
          </w:tcPr>
          <w:p w14:paraId="4B8FC9A7">
            <w:pPr>
              <w:spacing w:after="0" w:line="240" w:lineRule="auto"/>
              <w:jc w:val="center"/>
              <w:rPr>
                <w:rFonts w:hint="eastAsia" w:ascii="宋体" w:hAnsi="宋体" w:eastAsia="宋体" w:cs="Times New Roman"/>
                <w:b/>
                <w:bCs/>
                <w:sz w:val="18"/>
                <w:szCs w:val="18"/>
                <w:lang w:eastAsia="zh-CN"/>
              </w:rPr>
            </w:pPr>
            <w:r>
              <w:rPr>
                <w:rFonts w:hint="eastAsia" w:ascii="宋体" w:hAnsi="宋体" w:eastAsia="宋体" w:cs="Times New Roman"/>
                <w:b/>
                <w:bCs/>
                <w:sz w:val="18"/>
                <w:szCs w:val="18"/>
                <w:lang w:eastAsia="zh-CN"/>
              </w:rPr>
              <w:t>一级指标</w:t>
            </w:r>
          </w:p>
        </w:tc>
        <w:tc>
          <w:tcPr>
            <w:tcW w:w="1417" w:type="dxa"/>
            <w:tcBorders>
              <w:top w:val="nil"/>
              <w:left w:val="nil"/>
              <w:bottom w:val="single" w:color="auto" w:sz="4" w:space="0"/>
              <w:right w:val="single" w:color="auto" w:sz="4" w:space="0"/>
            </w:tcBorders>
            <w:vAlign w:val="center"/>
          </w:tcPr>
          <w:p w14:paraId="6637E1FC">
            <w:pPr>
              <w:spacing w:after="0" w:line="240" w:lineRule="auto"/>
              <w:jc w:val="center"/>
              <w:rPr>
                <w:rFonts w:hint="eastAsia" w:ascii="宋体" w:hAnsi="宋体" w:eastAsia="宋体" w:cs="Times New Roman"/>
                <w:b/>
                <w:bCs/>
                <w:sz w:val="18"/>
                <w:szCs w:val="18"/>
                <w:lang w:eastAsia="zh-CN"/>
              </w:rPr>
            </w:pPr>
            <w:r>
              <w:rPr>
                <w:rFonts w:hint="eastAsia" w:ascii="宋体" w:hAnsi="宋体" w:eastAsia="宋体" w:cs="Times New Roman"/>
                <w:b/>
                <w:bCs/>
                <w:sz w:val="18"/>
                <w:szCs w:val="18"/>
                <w:lang w:eastAsia="zh-CN"/>
              </w:rPr>
              <w:t>二级指标</w:t>
            </w:r>
          </w:p>
        </w:tc>
        <w:tc>
          <w:tcPr>
            <w:tcW w:w="1418" w:type="dxa"/>
            <w:tcBorders>
              <w:top w:val="nil"/>
              <w:left w:val="nil"/>
              <w:bottom w:val="single" w:color="auto" w:sz="4" w:space="0"/>
              <w:right w:val="single" w:color="auto" w:sz="4" w:space="0"/>
            </w:tcBorders>
            <w:vAlign w:val="center"/>
          </w:tcPr>
          <w:p w14:paraId="08E563FB">
            <w:pPr>
              <w:spacing w:after="0" w:line="240" w:lineRule="auto"/>
              <w:jc w:val="center"/>
              <w:rPr>
                <w:rFonts w:hint="eastAsia" w:ascii="宋体" w:hAnsi="宋体" w:eastAsia="宋体" w:cs="Times New Roman"/>
                <w:b/>
                <w:bCs/>
                <w:sz w:val="18"/>
                <w:szCs w:val="18"/>
                <w:lang w:eastAsia="zh-CN"/>
              </w:rPr>
            </w:pPr>
            <w:r>
              <w:rPr>
                <w:rFonts w:hint="eastAsia" w:ascii="宋体" w:hAnsi="宋体" w:eastAsia="宋体" w:cs="Times New Roman"/>
                <w:b/>
                <w:bCs/>
                <w:sz w:val="18"/>
                <w:szCs w:val="18"/>
                <w:lang w:eastAsia="zh-CN"/>
              </w:rPr>
              <w:t>三级指标</w:t>
            </w:r>
          </w:p>
        </w:tc>
        <w:tc>
          <w:tcPr>
            <w:tcW w:w="1276" w:type="dxa"/>
            <w:tcBorders>
              <w:top w:val="nil"/>
              <w:left w:val="nil"/>
              <w:bottom w:val="single" w:color="auto" w:sz="4" w:space="0"/>
              <w:right w:val="single" w:color="auto" w:sz="4" w:space="0"/>
            </w:tcBorders>
            <w:vAlign w:val="center"/>
          </w:tcPr>
          <w:p w14:paraId="63394915">
            <w:pPr>
              <w:spacing w:after="0" w:line="240" w:lineRule="auto"/>
              <w:jc w:val="center"/>
              <w:rPr>
                <w:rFonts w:hint="eastAsia" w:ascii="宋体" w:hAnsi="宋体" w:eastAsia="宋体" w:cs="Times New Roman"/>
                <w:b/>
                <w:bCs/>
                <w:sz w:val="18"/>
                <w:szCs w:val="18"/>
                <w:lang w:eastAsia="zh-CN"/>
              </w:rPr>
            </w:pPr>
            <w:r>
              <w:rPr>
                <w:rFonts w:hint="eastAsia" w:ascii="宋体" w:hAnsi="宋体" w:eastAsia="宋体" w:cs="Times New Roman"/>
                <w:b/>
                <w:bCs/>
                <w:sz w:val="18"/>
                <w:szCs w:val="18"/>
                <w:lang w:eastAsia="zh-CN"/>
              </w:rPr>
              <w:t>预期指标值</w:t>
            </w:r>
          </w:p>
        </w:tc>
        <w:tc>
          <w:tcPr>
            <w:tcW w:w="1842" w:type="dxa"/>
            <w:tcBorders>
              <w:top w:val="nil"/>
              <w:left w:val="nil"/>
              <w:bottom w:val="single" w:color="auto" w:sz="4" w:space="0"/>
              <w:right w:val="single" w:color="auto" w:sz="4" w:space="0"/>
            </w:tcBorders>
            <w:vAlign w:val="center"/>
          </w:tcPr>
          <w:p w14:paraId="27B58D9C">
            <w:pPr>
              <w:spacing w:after="0" w:line="240" w:lineRule="auto"/>
              <w:jc w:val="center"/>
              <w:rPr>
                <w:rFonts w:hint="eastAsia" w:ascii="宋体" w:hAnsi="宋体" w:eastAsia="宋体" w:cs="Times New Roman"/>
                <w:b/>
                <w:bCs/>
                <w:sz w:val="18"/>
                <w:szCs w:val="18"/>
                <w:lang w:eastAsia="zh-CN"/>
              </w:rPr>
            </w:pPr>
            <w:r>
              <w:rPr>
                <w:rFonts w:hint="eastAsia" w:ascii="宋体" w:hAnsi="宋体" w:eastAsia="宋体" w:cs="Times New Roman"/>
                <w:b/>
                <w:bCs/>
                <w:sz w:val="18"/>
                <w:szCs w:val="18"/>
                <w:lang w:eastAsia="zh-CN"/>
              </w:rPr>
              <w:t>指标值设定依据</w:t>
            </w:r>
          </w:p>
        </w:tc>
        <w:tc>
          <w:tcPr>
            <w:tcW w:w="993" w:type="dxa"/>
            <w:tcBorders>
              <w:top w:val="nil"/>
              <w:left w:val="nil"/>
              <w:bottom w:val="single" w:color="auto" w:sz="4" w:space="0"/>
              <w:right w:val="single" w:color="auto" w:sz="4" w:space="0"/>
            </w:tcBorders>
            <w:vAlign w:val="center"/>
          </w:tcPr>
          <w:p w14:paraId="7B06717C">
            <w:pPr>
              <w:spacing w:after="0" w:line="240" w:lineRule="auto"/>
              <w:jc w:val="center"/>
              <w:rPr>
                <w:rFonts w:hint="eastAsia" w:ascii="宋体" w:hAnsi="宋体" w:eastAsia="宋体" w:cs="Times New Roman"/>
                <w:b/>
                <w:bCs/>
                <w:sz w:val="18"/>
                <w:szCs w:val="18"/>
                <w:lang w:eastAsia="zh-CN"/>
              </w:rPr>
            </w:pPr>
            <w:r>
              <w:rPr>
                <w:rFonts w:hint="eastAsia" w:ascii="宋体" w:hAnsi="宋体" w:eastAsia="宋体" w:cs="Times New Roman"/>
                <w:b/>
                <w:bCs/>
                <w:sz w:val="18"/>
                <w:szCs w:val="18"/>
                <w:lang w:eastAsia="zh-CN"/>
              </w:rPr>
              <w:t>分值权重</w:t>
            </w:r>
          </w:p>
        </w:tc>
        <w:tc>
          <w:tcPr>
            <w:tcW w:w="992" w:type="dxa"/>
            <w:tcBorders>
              <w:top w:val="nil"/>
              <w:left w:val="nil"/>
              <w:bottom w:val="single" w:color="auto" w:sz="4" w:space="0"/>
              <w:right w:val="single" w:color="auto" w:sz="4" w:space="0"/>
            </w:tcBorders>
            <w:vAlign w:val="center"/>
          </w:tcPr>
          <w:p w14:paraId="413C9DC1">
            <w:pPr>
              <w:spacing w:after="0" w:line="240" w:lineRule="auto"/>
              <w:jc w:val="center"/>
              <w:rPr>
                <w:rFonts w:hint="eastAsia" w:ascii="宋体" w:hAnsi="宋体" w:eastAsia="宋体" w:cs="Times New Roman"/>
                <w:b/>
                <w:bCs/>
                <w:sz w:val="18"/>
                <w:szCs w:val="18"/>
                <w:lang w:eastAsia="zh-CN"/>
              </w:rPr>
            </w:pPr>
            <w:r>
              <w:rPr>
                <w:rFonts w:hint="eastAsia" w:ascii="宋体" w:hAnsi="宋体" w:eastAsia="宋体" w:cs="Times New Roman"/>
                <w:b/>
                <w:bCs/>
                <w:sz w:val="18"/>
                <w:szCs w:val="18"/>
                <w:lang w:eastAsia="zh-CN"/>
              </w:rPr>
              <w:t>实际完成指标值</w:t>
            </w:r>
          </w:p>
        </w:tc>
        <w:tc>
          <w:tcPr>
            <w:tcW w:w="720" w:type="dxa"/>
            <w:tcBorders>
              <w:top w:val="nil"/>
              <w:left w:val="nil"/>
              <w:bottom w:val="single" w:color="auto" w:sz="4" w:space="0"/>
              <w:right w:val="single" w:color="auto" w:sz="4" w:space="0"/>
            </w:tcBorders>
            <w:vAlign w:val="center"/>
          </w:tcPr>
          <w:p w14:paraId="4D7CCAC1">
            <w:pPr>
              <w:spacing w:after="0" w:line="240" w:lineRule="auto"/>
              <w:jc w:val="center"/>
              <w:rPr>
                <w:rFonts w:hint="eastAsia" w:ascii="宋体" w:hAnsi="宋体" w:eastAsia="宋体" w:cs="Times New Roman"/>
                <w:b/>
                <w:bCs/>
                <w:sz w:val="18"/>
                <w:szCs w:val="18"/>
                <w:lang w:eastAsia="zh-CN"/>
              </w:rPr>
            </w:pPr>
            <w:r>
              <w:rPr>
                <w:rFonts w:hint="eastAsia" w:ascii="宋体" w:hAnsi="宋体" w:eastAsia="宋体" w:cs="Times New Roman"/>
                <w:b/>
                <w:bCs/>
                <w:sz w:val="18"/>
                <w:szCs w:val="18"/>
                <w:lang w:eastAsia="zh-CN"/>
              </w:rPr>
              <w:t>得分</w:t>
            </w:r>
          </w:p>
        </w:tc>
        <w:tc>
          <w:tcPr>
            <w:tcW w:w="284" w:type="dxa"/>
            <w:tcBorders>
              <w:top w:val="nil"/>
              <w:left w:val="nil"/>
              <w:bottom w:val="nil"/>
              <w:right w:val="nil"/>
            </w:tcBorders>
            <w:noWrap/>
            <w:vAlign w:val="center"/>
          </w:tcPr>
          <w:p w14:paraId="477B3F8E">
            <w:pPr>
              <w:spacing w:after="0" w:line="240" w:lineRule="auto"/>
              <w:rPr>
                <w:rFonts w:hint="eastAsia" w:ascii="宋体" w:hAnsi="宋体" w:eastAsia="宋体" w:cs="Times New Roman"/>
                <w:b/>
                <w:bCs/>
                <w:sz w:val="18"/>
                <w:szCs w:val="18"/>
                <w:lang w:eastAsia="zh-CN"/>
              </w:rPr>
            </w:pPr>
          </w:p>
        </w:tc>
      </w:tr>
      <w:tr w14:paraId="0A09448F">
        <w:tblPrEx>
          <w:tblCellMar>
            <w:top w:w="0" w:type="dxa"/>
            <w:left w:w="108" w:type="dxa"/>
            <w:bottom w:w="0" w:type="dxa"/>
            <w:right w:w="108" w:type="dxa"/>
          </w:tblCellMar>
        </w:tblPrEx>
        <w:trPr>
          <w:cantSplit/>
          <w:trHeight w:val="740" w:hRule="atLeast"/>
        </w:trPr>
        <w:tc>
          <w:tcPr>
            <w:tcW w:w="993" w:type="dxa"/>
            <w:vMerge w:val="restart"/>
            <w:tcBorders>
              <w:top w:val="single" w:color="auto" w:sz="4" w:space="0"/>
              <w:left w:val="single" w:color="auto" w:sz="4" w:space="0"/>
              <w:bottom w:val="nil"/>
              <w:right w:val="single" w:color="auto" w:sz="4" w:space="0"/>
            </w:tcBorders>
            <w:noWrap/>
            <w:vAlign w:val="center"/>
          </w:tcPr>
          <w:p w14:paraId="25B65B03">
            <w:pPr>
              <w:spacing w:after="0" w:line="240" w:lineRule="auto"/>
              <w:jc w:val="center"/>
              <w:rPr>
                <w:rFonts w:hint="eastAsia" w:ascii="宋体" w:hAnsi="宋体" w:eastAsia="宋体" w:cs="Times New Roman"/>
                <w:sz w:val="15"/>
                <w:szCs w:val="15"/>
                <w:lang w:eastAsia="zh-CN"/>
              </w:rPr>
            </w:pPr>
            <w:r>
              <w:rPr>
                <w:rFonts w:hint="eastAsia" w:ascii="宋体" w:hAnsi="宋体" w:eastAsia="宋体" w:cs="Times New Roman"/>
                <w:sz w:val="15"/>
                <w:szCs w:val="15"/>
                <w:lang w:eastAsia="zh-CN"/>
              </w:rPr>
              <w:t>履职效能</w:t>
            </w:r>
          </w:p>
        </w:tc>
        <w:tc>
          <w:tcPr>
            <w:tcW w:w="1417" w:type="dxa"/>
            <w:vMerge w:val="restart"/>
            <w:tcBorders>
              <w:top w:val="single" w:color="auto" w:sz="4" w:space="0"/>
              <w:left w:val="nil"/>
              <w:bottom w:val="nil"/>
              <w:right w:val="single" w:color="auto" w:sz="4" w:space="0"/>
            </w:tcBorders>
            <w:noWrap/>
            <w:vAlign w:val="center"/>
          </w:tcPr>
          <w:p w14:paraId="5FCE533C">
            <w:pPr>
              <w:spacing w:after="0" w:line="240" w:lineRule="auto"/>
              <w:jc w:val="center"/>
              <w:rPr>
                <w:rFonts w:hint="eastAsia" w:ascii="宋体" w:hAnsi="宋体" w:eastAsia="宋体" w:cs="Times New Roman"/>
                <w:sz w:val="15"/>
                <w:szCs w:val="15"/>
                <w:lang w:eastAsia="zh-CN"/>
              </w:rPr>
            </w:pPr>
            <w:r>
              <w:rPr>
                <w:rFonts w:hint="eastAsia" w:ascii="宋体" w:hAnsi="宋体" w:eastAsia="宋体" w:cs="Times New Roman"/>
                <w:sz w:val="15"/>
                <w:szCs w:val="15"/>
                <w:lang w:eastAsia="zh-CN"/>
              </w:rPr>
              <w:t>数量指标</w:t>
            </w:r>
          </w:p>
        </w:tc>
        <w:tc>
          <w:tcPr>
            <w:tcW w:w="1418" w:type="dxa"/>
            <w:tcBorders>
              <w:top w:val="nil"/>
              <w:left w:val="nil"/>
              <w:bottom w:val="single" w:color="auto" w:sz="4" w:space="0"/>
              <w:right w:val="single" w:color="auto" w:sz="4" w:space="0"/>
            </w:tcBorders>
            <w:noWrap/>
            <w:vAlign w:val="center"/>
          </w:tcPr>
          <w:p w14:paraId="095C1A23">
            <w:pPr>
              <w:spacing w:after="0" w:line="240" w:lineRule="auto"/>
              <w:jc w:val="center"/>
              <w:rPr>
                <w:rFonts w:hint="eastAsia" w:ascii="宋体" w:hAnsi="宋体" w:eastAsia="宋体" w:cs="Times New Roman"/>
                <w:sz w:val="18"/>
                <w:szCs w:val="18"/>
                <w:lang w:eastAsia="zh-CN"/>
              </w:rPr>
            </w:pPr>
            <w:r>
              <w:rPr>
                <w:rFonts w:hint="eastAsia" w:ascii="宋体" w:hAnsi="宋体" w:eastAsia="宋体" w:cs="Times New Roman"/>
                <w:sz w:val="18"/>
                <w:szCs w:val="18"/>
                <w:lang w:eastAsia="zh-CN"/>
              </w:rPr>
              <w:t>开展防灾避险、应急救护体验、群众性演练活动次数</w:t>
            </w:r>
          </w:p>
        </w:tc>
        <w:tc>
          <w:tcPr>
            <w:tcW w:w="1276" w:type="dxa"/>
            <w:tcBorders>
              <w:top w:val="nil"/>
              <w:left w:val="nil"/>
              <w:bottom w:val="single" w:color="auto" w:sz="4" w:space="0"/>
              <w:right w:val="single" w:color="auto" w:sz="4" w:space="0"/>
            </w:tcBorders>
            <w:noWrap/>
            <w:vAlign w:val="center"/>
          </w:tcPr>
          <w:p w14:paraId="2D63756D">
            <w:pPr>
              <w:spacing w:after="0" w:line="240" w:lineRule="auto"/>
              <w:jc w:val="center"/>
              <w:rPr>
                <w:rFonts w:hint="eastAsia" w:ascii="宋体" w:hAnsi="宋体" w:eastAsia="宋体" w:cs="Times New Roman"/>
                <w:sz w:val="18"/>
                <w:szCs w:val="18"/>
                <w:lang w:eastAsia="zh-CN"/>
              </w:rPr>
            </w:pPr>
            <w:r>
              <w:rPr>
                <w:rFonts w:hint="eastAsia" w:ascii="宋体" w:hAnsi="宋体" w:eastAsia="宋体" w:cs="Times New Roman"/>
                <w:sz w:val="18"/>
                <w:szCs w:val="18"/>
                <w:lang w:eastAsia="zh-CN"/>
              </w:rPr>
              <w:t>&gt;=4场/次</w:t>
            </w:r>
          </w:p>
        </w:tc>
        <w:tc>
          <w:tcPr>
            <w:tcW w:w="1842" w:type="dxa"/>
            <w:tcBorders>
              <w:top w:val="nil"/>
              <w:left w:val="nil"/>
              <w:bottom w:val="single" w:color="auto" w:sz="4" w:space="0"/>
              <w:right w:val="single" w:color="auto" w:sz="4" w:space="0"/>
            </w:tcBorders>
            <w:noWrap/>
            <w:vAlign w:val="center"/>
          </w:tcPr>
          <w:p w14:paraId="5B9C9FBA">
            <w:pPr>
              <w:spacing w:after="0" w:line="240" w:lineRule="auto"/>
              <w:rPr>
                <w:rFonts w:hint="eastAsia" w:ascii="宋体" w:hAnsi="宋体" w:eastAsia="宋体" w:cs="Times New Roman"/>
                <w:sz w:val="18"/>
                <w:szCs w:val="18"/>
                <w:lang w:eastAsia="zh-CN"/>
              </w:rPr>
            </w:pPr>
            <w:r>
              <w:rPr>
                <w:rFonts w:hint="eastAsia" w:ascii="宋体" w:hAnsi="宋体" w:eastAsia="宋体" w:cs="Times New Roman"/>
                <w:sz w:val="18"/>
                <w:szCs w:val="18"/>
                <w:lang w:eastAsia="zh-CN"/>
              </w:rPr>
              <w:t>2024年工作计划</w:t>
            </w:r>
          </w:p>
        </w:tc>
        <w:tc>
          <w:tcPr>
            <w:tcW w:w="993" w:type="dxa"/>
            <w:tcBorders>
              <w:top w:val="nil"/>
              <w:left w:val="nil"/>
              <w:bottom w:val="single" w:color="auto" w:sz="4" w:space="0"/>
              <w:right w:val="single" w:color="auto" w:sz="4" w:space="0"/>
            </w:tcBorders>
            <w:noWrap/>
            <w:vAlign w:val="center"/>
          </w:tcPr>
          <w:p w14:paraId="22A88733">
            <w:pPr>
              <w:spacing w:after="0" w:line="240" w:lineRule="auto"/>
              <w:jc w:val="center"/>
              <w:rPr>
                <w:rFonts w:hint="eastAsia" w:ascii="宋体" w:hAnsi="宋体" w:eastAsia="宋体" w:cs="Times New Roman"/>
                <w:sz w:val="18"/>
                <w:szCs w:val="18"/>
                <w:lang w:eastAsia="zh-CN"/>
              </w:rPr>
            </w:pPr>
            <w:r>
              <w:rPr>
                <w:rFonts w:hint="eastAsia" w:ascii="宋体" w:hAnsi="宋体" w:eastAsia="宋体" w:cs="Times New Roman"/>
                <w:sz w:val="18"/>
                <w:szCs w:val="18"/>
                <w:lang w:eastAsia="zh-CN"/>
              </w:rPr>
              <w:t>18</w:t>
            </w:r>
          </w:p>
        </w:tc>
        <w:tc>
          <w:tcPr>
            <w:tcW w:w="992" w:type="dxa"/>
            <w:tcBorders>
              <w:top w:val="nil"/>
              <w:left w:val="nil"/>
              <w:bottom w:val="single" w:color="auto" w:sz="4" w:space="0"/>
              <w:right w:val="single" w:color="auto" w:sz="4" w:space="0"/>
            </w:tcBorders>
            <w:noWrap/>
            <w:vAlign w:val="center"/>
          </w:tcPr>
          <w:p w14:paraId="36578732">
            <w:pPr>
              <w:spacing w:after="0" w:line="240" w:lineRule="auto"/>
              <w:jc w:val="center"/>
              <w:rPr>
                <w:rFonts w:hint="eastAsia" w:ascii="宋体" w:hAnsi="宋体" w:eastAsia="宋体" w:cs="Times New Roman"/>
                <w:sz w:val="18"/>
                <w:szCs w:val="18"/>
                <w:lang w:eastAsia="zh-CN"/>
              </w:rPr>
            </w:pPr>
            <w:r>
              <w:rPr>
                <w:rFonts w:hint="eastAsia" w:ascii="宋体" w:hAnsi="宋体" w:eastAsia="宋体" w:cs="Times New Roman"/>
                <w:sz w:val="18"/>
                <w:szCs w:val="18"/>
                <w:lang w:eastAsia="zh-CN"/>
              </w:rPr>
              <w:t>=6场次</w:t>
            </w:r>
          </w:p>
        </w:tc>
        <w:tc>
          <w:tcPr>
            <w:tcW w:w="720" w:type="dxa"/>
            <w:tcBorders>
              <w:top w:val="nil"/>
              <w:left w:val="nil"/>
              <w:bottom w:val="single" w:color="auto" w:sz="4" w:space="0"/>
              <w:right w:val="single" w:color="auto" w:sz="4" w:space="0"/>
            </w:tcBorders>
            <w:noWrap/>
            <w:vAlign w:val="center"/>
          </w:tcPr>
          <w:p w14:paraId="56EA5092">
            <w:pPr>
              <w:spacing w:after="0" w:line="240" w:lineRule="auto"/>
              <w:jc w:val="center"/>
              <w:rPr>
                <w:rFonts w:hint="eastAsia" w:ascii="宋体" w:hAnsi="宋体" w:eastAsia="宋体" w:cs="Times New Roman"/>
                <w:sz w:val="18"/>
                <w:szCs w:val="18"/>
                <w:lang w:eastAsia="zh-CN"/>
              </w:rPr>
            </w:pPr>
            <w:r>
              <w:rPr>
                <w:rFonts w:hint="eastAsia" w:ascii="宋体" w:hAnsi="宋体" w:eastAsia="宋体" w:cs="Times New Roman"/>
                <w:sz w:val="18"/>
                <w:szCs w:val="18"/>
                <w:lang w:eastAsia="zh-CN"/>
              </w:rPr>
              <w:t>18</w:t>
            </w:r>
          </w:p>
        </w:tc>
        <w:tc>
          <w:tcPr>
            <w:tcW w:w="284" w:type="dxa"/>
            <w:tcBorders>
              <w:top w:val="nil"/>
              <w:left w:val="nil"/>
              <w:bottom w:val="nil"/>
              <w:right w:val="nil"/>
            </w:tcBorders>
            <w:noWrap/>
            <w:vAlign w:val="center"/>
          </w:tcPr>
          <w:p w14:paraId="7621CED9">
            <w:pPr>
              <w:spacing w:after="0" w:line="240" w:lineRule="auto"/>
              <w:jc w:val="center"/>
              <w:rPr>
                <w:rFonts w:hint="eastAsia" w:ascii="宋体" w:hAnsi="宋体" w:eastAsia="宋体" w:cs="Times New Roman"/>
                <w:sz w:val="18"/>
                <w:szCs w:val="18"/>
                <w:lang w:eastAsia="zh-CN"/>
              </w:rPr>
            </w:pPr>
          </w:p>
        </w:tc>
      </w:tr>
      <w:tr w14:paraId="06FF6B52">
        <w:tblPrEx>
          <w:tblCellMar>
            <w:top w:w="0" w:type="dxa"/>
            <w:left w:w="108" w:type="dxa"/>
            <w:bottom w:w="0" w:type="dxa"/>
            <w:right w:w="108" w:type="dxa"/>
          </w:tblCellMar>
        </w:tblPrEx>
        <w:trPr>
          <w:cantSplit/>
          <w:trHeight w:val="740" w:hRule="atLeast"/>
        </w:trPr>
        <w:tc>
          <w:tcPr>
            <w:tcW w:w="993" w:type="dxa"/>
            <w:vMerge w:val="continue"/>
            <w:tcBorders>
              <w:top w:val="nil"/>
              <w:left w:val="single" w:color="auto" w:sz="4" w:space="0"/>
              <w:bottom w:val="nil"/>
              <w:right w:val="single" w:color="auto" w:sz="4" w:space="0"/>
            </w:tcBorders>
            <w:vAlign w:val="center"/>
          </w:tcPr>
          <w:p w14:paraId="2097E0D1">
            <w:pPr>
              <w:spacing w:after="0" w:line="240" w:lineRule="auto"/>
              <w:rPr>
                <w:rFonts w:hint="eastAsia" w:ascii="宋体" w:hAnsi="宋体" w:eastAsia="宋体" w:cs="Times New Roman"/>
                <w:sz w:val="15"/>
                <w:szCs w:val="15"/>
                <w:lang w:eastAsia="zh-CN"/>
              </w:rPr>
            </w:pPr>
          </w:p>
        </w:tc>
        <w:tc>
          <w:tcPr>
            <w:tcW w:w="8658" w:type="dxa"/>
            <w:vMerge w:val="continue"/>
            <w:tcBorders>
              <w:top w:val="nil"/>
              <w:left w:val="nil"/>
              <w:bottom w:val="nil"/>
              <w:right w:val="single" w:color="auto" w:sz="4" w:space="0"/>
            </w:tcBorders>
            <w:vAlign w:val="center"/>
          </w:tcPr>
          <w:p w14:paraId="7D98749C">
            <w:pPr>
              <w:spacing w:after="0" w:line="240" w:lineRule="auto"/>
              <w:rPr>
                <w:rFonts w:hint="eastAsia" w:ascii="宋体" w:hAnsi="宋体" w:eastAsia="宋体" w:cs="Times New Roman"/>
                <w:sz w:val="15"/>
                <w:szCs w:val="15"/>
                <w:lang w:eastAsia="zh-CN"/>
              </w:rPr>
            </w:pPr>
          </w:p>
        </w:tc>
        <w:tc>
          <w:tcPr>
            <w:tcW w:w="1418" w:type="dxa"/>
            <w:tcBorders>
              <w:top w:val="nil"/>
              <w:left w:val="nil"/>
              <w:bottom w:val="single" w:color="auto" w:sz="4" w:space="0"/>
              <w:right w:val="single" w:color="auto" w:sz="4" w:space="0"/>
            </w:tcBorders>
            <w:noWrap/>
            <w:vAlign w:val="center"/>
          </w:tcPr>
          <w:p w14:paraId="5CBE77D6">
            <w:pPr>
              <w:spacing w:after="0" w:line="240" w:lineRule="auto"/>
              <w:jc w:val="center"/>
              <w:rPr>
                <w:rFonts w:hint="eastAsia" w:ascii="宋体" w:hAnsi="宋体" w:eastAsia="宋体" w:cs="Times New Roman"/>
                <w:sz w:val="18"/>
                <w:szCs w:val="18"/>
                <w:lang w:eastAsia="zh-CN"/>
              </w:rPr>
            </w:pPr>
            <w:r>
              <w:rPr>
                <w:rFonts w:hint="eastAsia" w:ascii="宋体" w:hAnsi="宋体" w:eastAsia="宋体" w:cs="Times New Roman"/>
                <w:sz w:val="18"/>
                <w:szCs w:val="18"/>
                <w:lang w:eastAsia="zh-CN"/>
              </w:rPr>
              <w:t>救助困难学生及困难家庭大病患者人数</w:t>
            </w:r>
          </w:p>
        </w:tc>
        <w:tc>
          <w:tcPr>
            <w:tcW w:w="1276" w:type="dxa"/>
            <w:tcBorders>
              <w:top w:val="nil"/>
              <w:left w:val="nil"/>
              <w:bottom w:val="single" w:color="auto" w:sz="4" w:space="0"/>
              <w:right w:val="single" w:color="auto" w:sz="4" w:space="0"/>
            </w:tcBorders>
            <w:noWrap/>
            <w:vAlign w:val="center"/>
          </w:tcPr>
          <w:p w14:paraId="12082DA1">
            <w:pPr>
              <w:spacing w:after="0" w:line="240" w:lineRule="auto"/>
              <w:jc w:val="center"/>
              <w:rPr>
                <w:rFonts w:hint="eastAsia" w:ascii="宋体" w:hAnsi="宋体" w:eastAsia="宋体" w:cs="Times New Roman"/>
                <w:sz w:val="18"/>
                <w:szCs w:val="18"/>
                <w:lang w:eastAsia="zh-CN"/>
              </w:rPr>
            </w:pPr>
            <w:r>
              <w:rPr>
                <w:rFonts w:hint="eastAsia" w:ascii="宋体" w:hAnsi="宋体" w:eastAsia="宋体" w:cs="Times New Roman"/>
                <w:sz w:val="18"/>
                <w:szCs w:val="18"/>
                <w:lang w:eastAsia="zh-CN"/>
              </w:rPr>
              <w:t>&gt;=200人</w:t>
            </w:r>
          </w:p>
        </w:tc>
        <w:tc>
          <w:tcPr>
            <w:tcW w:w="1842" w:type="dxa"/>
            <w:tcBorders>
              <w:top w:val="nil"/>
              <w:left w:val="nil"/>
              <w:bottom w:val="single" w:color="auto" w:sz="4" w:space="0"/>
              <w:right w:val="single" w:color="auto" w:sz="4" w:space="0"/>
            </w:tcBorders>
            <w:noWrap/>
            <w:vAlign w:val="center"/>
          </w:tcPr>
          <w:p w14:paraId="5ECB27A4">
            <w:pPr>
              <w:spacing w:after="0" w:line="240" w:lineRule="auto"/>
              <w:rPr>
                <w:rFonts w:hint="eastAsia" w:ascii="宋体" w:hAnsi="宋体" w:eastAsia="宋体" w:cs="Times New Roman"/>
                <w:sz w:val="18"/>
                <w:szCs w:val="18"/>
                <w:lang w:eastAsia="zh-CN"/>
              </w:rPr>
            </w:pPr>
            <w:r>
              <w:rPr>
                <w:rFonts w:hint="eastAsia" w:ascii="宋体" w:hAnsi="宋体" w:eastAsia="宋体" w:cs="Times New Roman"/>
                <w:sz w:val="18"/>
                <w:szCs w:val="18"/>
                <w:lang w:eastAsia="zh-CN"/>
              </w:rPr>
              <w:t>2024年工作计划</w:t>
            </w:r>
          </w:p>
        </w:tc>
        <w:tc>
          <w:tcPr>
            <w:tcW w:w="993" w:type="dxa"/>
            <w:tcBorders>
              <w:top w:val="nil"/>
              <w:left w:val="nil"/>
              <w:bottom w:val="single" w:color="auto" w:sz="4" w:space="0"/>
              <w:right w:val="single" w:color="auto" w:sz="4" w:space="0"/>
            </w:tcBorders>
            <w:noWrap/>
            <w:vAlign w:val="center"/>
          </w:tcPr>
          <w:p w14:paraId="32BCBA96">
            <w:pPr>
              <w:spacing w:after="0" w:line="240" w:lineRule="auto"/>
              <w:jc w:val="center"/>
              <w:rPr>
                <w:rFonts w:hint="eastAsia" w:ascii="宋体" w:hAnsi="宋体" w:eastAsia="宋体" w:cs="Times New Roman"/>
                <w:sz w:val="18"/>
                <w:szCs w:val="18"/>
                <w:lang w:eastAsia="zh-CN"/>
              </w:rPr>
            </w:pPr>
            <w:r>
              <w:rPr>
                <w:rFonts w:hint="eastAsia" w:ascii="宋体" w:hAnsi="宋体" w:eastAsia="宋体" w:cs="Times New Roman"/>
                <w:sz w:val="18"/>
                <w:szCs w:val="18"/>
                <w:lang w:eastAsia="zh-CN"/>
              </w:rPr>
              <w:t>18</w:t>
            </w:r>
          </w:p>
        </w:tc>
        <w:tc>
          <w:tcPr>
            <w:tcW w:w="992" w:type="dxa"/>
            <w:tcBorders>
              <w:top w:val="nil"/>
              <w:left w:val="nil"/>
              <w:bottom w:val="single" w:color="auto" w:sz="4" w:space="0"/>
              <w:right w:val="single" w:color="auto" w:sz="4" w:space="0"/>
            </w:tcBorders>
            <w:noWrap/>
            <w:vAlign w:val="center"/>
          </w:tcPr>
          <w:p w14:paraId="0D4ED793">
            <w:pPr>
              <w:spacing w:after="0" w:line="240" w:lineRule="auto"/>
              <w:jc w:val="center"/>
              <w:rPr>
                <w:rFonts w:hint="eastAsia" w:ascii="宋体" w:hAnsi="宋体" w:eastAsia="宋体" w:cs="Times New Roman"/>
                <w:sz w:val="18"/>
                <w:szCs w:val="18"/>
                <w:lang w:eastAsia="zh-CN"/>
              </w:rPr>
            </w:pPr>
            <w:r>
              <w:rPr>
                <w:rFonts w:hint="eastAsia" w:ascii="宋体" w:hAnsi="宋体" w:eastAsia="宋体" w:cs="Times New Roman"/>
                <w:sz w:val="18"/>
                <w:szCs w:val="18"/>
                <w:lang w:eastAsia="zh-CN"/>
              </w:rPr>
              <w:t>＝201人</w:t>
            </w:r>
          </w:p>
        </w:tc>
        <w:tc>
          <w:tcPr>
            <w:tcW w:w="720" w:type="dxa"/>
            <w:tcBorders>
              <w:top w:val="nil"/>
              <w:left w:val="nil"/>
              <w:bottom w:val="single" w:color="auto" w:sz="4" w:space="0"/>
              <w:right w:val="single" w:color="auto" w:sz="4" w:space="0"/>
            </w:tcBorders>
            <w:noWrap/>
            <w:vAlign w:val="center"/>
          </w:tcPr>
          <w:p w14:paraId="24B0D608">
            <w:pPr>
              <w:spacing w:after="0" w:line="240" w:lineRule="auto"/>
              <w:jc w:val="center"/>
              <w:rPr>
                <w:rFonts w:hint="eastAsia" w:ascii="宋体" w:hAnsi="宋体" w:eastAsia="宋体" w:cs="Times New Roman"/>
                <w:sz w:val="18"/>
                <w:szCs w:val="18"/>
                <w:lang w:eastAsia="zh-CN"/>
              </w:rPr>
            </w:pPr>
            <w:r>
              <w:rPr>
                <w:rFonts w:hint="eastAsia" w:ascii="宋体" w:hAnsi="宋体" w:eastAsia="宋体" w:cs="Times New Roman"/>
                <w:sz w:val="18"/>
                <w:szCs w:val="18"/>
                <w:lang w:eastAsia="zh-CN"/>
              </w:rPr>
              <w:t>18</w:t>
            </w:r>
          </w:p>
        </w:tc>
        <w:tc>
          <w:tcPr>
            <w:tcW w:w="284" w:type="dxa"/>
            <w:tcBorders>
              <w:top w:val="nil"/>
              <w:left w:val="nil"/>
              <w:bottom w:val="nil"/>
              <w:right w:val="nil"/>
            </w:tcBorders>
            <w:noWrap/>
            <w:vAlign w:val="center"/>
          </w:tcPr>
          <w:p w14:paraId="2F0FAA27">
            <w:pPr>
              <w:spacing w:after="0" w:line="240" w:lineRule="auto"/>
              <w:jc w:val="center"/>
              <w:rPr>
                <w:rFonts w:hint="eastAsia" w:ascii="宋体" w:hAnsi="宋体" w:eastAsia="宋体" w:cs="Times New Roman"/>
                <w:sz w:val="18"/>
                <w:szCs w:val="18"/>
                <w:lang w:eastAsia="zh-CN"/>
              </w:rPr>
            </w:pPr>
          </w:p>
        </w:tc>
      </w:tr>
      <w:tr w14:paraId="4778FD55">
        <w:tblPrEx>
          <w:tblCellMar>
            <w:top w:w="0" w:type="dxa"/>
            <w:left w:w="108" w:type="dxa"/>
            <w:bottom w:w="0" w:type="dxa"/>
            <w:right w:w="108" w:type="dxa"/>
          </w:tblCellMar>
        </w:tblPrEx>
        <w:trPr>
          <w:cantSplit/>
          <w:trHeight w:val="740" w:hRule="atLeast"/>
        </w:trPr>
        <w:tc>
          <w:tcPr>
            <w:tcW w:w="993" w:type="dxa"/>
            <w:vMerge w:val="continue"/>
            <w:tcBorders>
              <w:top w:val="nil"/>
              <w:left w:val="single" w:color="auto" w:sz="4" w:space="0"/>
              <w:bottom w:val="nil"/>
              <w:right w:val="single" w:color="auto" w:sz="4" w:space="0"/>
            </w:tcBorders>
            <w:vAlign w:val="center"/>
          </w:tcPr>
          <w:p w14:paraId="0FC4D167">
            <w:pPr>
              <w:spacing w:after="0" w:line="240" w:lineRule="auto"/>
              <w:rPr>
                <w:rFonts w:hint="eastAsia" w:ascii="宋体" w:hAnsi="宋体" w:eastAsia="宋体" w:cs="Times New Roman"/>
                <w:sz w:val="15"/>
                <w:szCs w:val="15"/>
                <w:lang w:eastAsia="zh-CN"/>
              </w:rPr>
            </w:pPr>
          </w:p>
        </w:tc>
        <w:tc>
          <w:tcPr>
            <w:tcW w:w="8658" w:type="dxa"/>
            <w:vMerge w:val="continue"/>
            <w:tcBorders>
              <w:top w:val="nil"/>
              <w:left w:val="nil"/>
              <w:bottom w:val="nil"/>
              <w:right w:val="single" w:color="auto" w:sz="4" w:space="0"/>
            </w:tcBorders>
            <w:vAlign w:val="center"/>
          </w:tcPr>
          <w:p w14:paraId="0CA22121">
            <w:pPr>
              <w:spacing w:after="0" w:line="240" w:lineRule="auto"/>
              <w:rPr>
                <w:rFonts w:hint="eastAsia" w:ascii="宋体" w:hAnsi="宋体" w:eastAsia="宋体" w:cs="Times New Roman"/>
                <w:sz w:val="15"/>
                <w:szCs w:val="15"/>
                <w:lang w:eastAsia="zh-CN"/>
              </w:rPr>
            </w:pPr>
          </w:p>
        </w:tc>
        <w:tc>
          <w:tcPr>
            <w:tcW w:w="1418" w:type="dxa"/>
            <w:tcBorders>
              <w:top w:val="nil"/>
              <w:left w:val="nil"/>
              <w:bottom w:val="single" w:color="auto" w:sz="4" w:space="0"/>
              <w:right w:val="single" w:color="auto" w:sz="4" w:space="0"/>
            </w:tcBorders>
            <w:noWrap/>
            <w:vAlign w:val="center"/>
          </w:tcPr>
          <w:p w14:paraId="42DDB81E">
            <w:pPr>
              <w:spacing w:after="0" w:line="240" w:lineRule="auto"/>
              <w:jc w:val="center"/>
              <w:rPr>
                <w:rFonts w:hint="eastAsia" w:ascii="宋体" w:hAnsi="宋体" w:eastAsia="宋体" w:cs="Times New Roman"/>
                <w:sz w:val="18"/>
                <w:szCs w:val="18"/>
                <w:lang w:eastAsia="zh-CN"/>
              </w:rPr>
            </w:pPr>
            <w:r>
              <w:rPr>
                <w:rFonts w:hint="eastAsia" w:ascii="宋体" w:hAnsi="宋体" w:eastAsia="宋体" w:cs="Times New Roman"/>
                <w:sz w:val="18"/>
                <w:szCs w:val="18"/>
                <w:lang w:eastAsia="zh-CN"/>
              </w:rPr>
              <w:t>开展“红十字博爱送温暖”活动，慰问困难家庭户数</w:t>
            </w:r>
          </w:p>
        </w:tc>
        <w:tc>
          <w:tcPr>
            <w:tcW w:w="1276" w:type="dxa"/>
            <w:tcBorders>
              <w:top w:val="nil"/>
              <w:left w:val="nil"/>
              <w:bottom w:val="single" w:color="auto" w:sz="4" w:space="0"/>
              <w:right w:val="single" w:color="auto" w:sz="4" w:space="0"/>
            </w:tcBorders>
            <w:noWrap/>
            <w:vAlign w:val="center"/>
          </w:tcPr>
          <w:p w14:paraId="4EED3B87">
            <w:pPr>
              <w:spacing w:after="0" w:line="240" w:lineRule="auto"/>
              <w:jc w:val="center"/>
              <w:rPr>
                <w:rFonts w:hint="eastAsia" w:ascii="宋体" w:hAnsi="宋体" w:eastAsia="宋体" w:cs="Times New Roman"/>
                <w:sz w:val="18"/>
                <w:szCs w:val="18"/>
                <w:lang w:eastAsia="zh-CN"/>
              </w:rPr>
            </w:pPr>
            <w:r>
              <w:rPr>
                <w:rFonts w:hint="eastAsia" w:ascii="宋体" w:hAnsi="宋体" w:eastAsia="宋体" w:cs="Times New Roman"/>
                <w:sz w:val="18"/>
                <w:szCs w:val="18"/>
                <w:lang w:eastAsia="zh-CN"/>
              </w:rPr>
              <w:t>&gt;=100户</w:t>
            </w:r>
          </w:p>
        </w:tc>
        <w:tc>
          <w:tcPr>
            <w:tcW w:w="1842" w:type="dxa"/>
            <w:tcBorders>
              <w:top w:val="nil"/>
              <w:left w:val="nil"/>
              <w:bottom w:val="single" w:color="auto" w:sz="4" w:space="0"/>
              <w:right w:val="single" w:color="auto" w:sz="4" w:space="0"/>
            </w:tcBorders>
            <w:noWrap/>
            <w:vAlign w:val="center"/>
          </w:tcPr>
          <w:p w14:paraId="7E1181B5">
            <w:pPr>
              <w:spacing w:after="0" w:line="240" w:lineRule="auto"/>
              <w:rPr>
                <w:rFonts w:hint="eastAsia" w:ascii="宋体" w:hAnsi="宋体" w:eastAsia="宋体" w:cs="Times New Roman"/>
                <w:sz w:val="18"/>
                <w:szCs w:val="18"/>
                <w:lang w:eastAsia="zh-CN"/>
              </w:rPr>
            </w:pPr>
            <w:r>
              <w:rPr>
                <w:rFonts w:hint="eastAsia" w:ascii="宋体" w:hAnsi="宋体" w:eastAsia="宋体" w:cs="Times New Roman"/>
                <w:sz w:val="18"/>
                <w:szCs w:val="18"/>
                <w:lang w:eastAsia="zh-CN"/>
              </w:rPr>
              <w:t>2024年工作计划</w:t>
            </w:r>
          </w:p>
        </w:tc>
        <w:tc>
          <w:tcPr>
            <w:tcW w:w="993" w:type="dxa"/>
            <w:tcBorders>
              <w:top w:val="nil"/>
              <w:left w:val="nil"/>
              <w:bottom w:val="single" w:color="auto" w:sz="4" w:space="0"/>
              <w:right w:val="single" w:color="auto" w:sz="4" w:space="0"/>
            </w:tcBorders>
            <w:noWrap/>
            <w:vAlign w:val="center"/>
          </w:tcPr>
          <w:p w14:paraId="00A9EA87">
            <w:pPr>
              <w:spacing w:after="0" w:line="240" w:lineRule="auto"/>
              <w:jc w:val="center"/>
              <w:rPr>
                <w:rFonts w:hint="eastAsia" w:ascii="宋体" w:hAnsi="宋体" w:eastAsia="宋体" w:cs="Times New Roman"/>
                <w:sz w:val="18"/>
                <w:szCs w:val="18"/>
                <w:lang w:eastAsia="zh-CN"/>
              </w:rPr>
            </w:pPr>
            <w:r>
              <w:rPr>
                <w:rFonts w:hint="eastAsia" w:ascii="宋体" w:hAnsi="宋体" w:eastAsia="宋体" w:cs="Times New Roman"/>
                <w:sz w:val="18"/>
                <w:szCs w:val="18"/>
                <w:lang w:eastAsia="zh-CN"/>
              </w:rPr>
              <w:t>18</w:t>
            </w:r>
          </w:p>
        </w:tc>
        <w:tc>
          <w:tcPr>
            <w:tcW w:w="992" w:type="dxa"/>
            <w:tcBorders>
              <w:top w:val="nil"/>
              <w:left w:val="nil"/>
              <w:bottom w:val="single" w:color="auto" w:sz="4" w:space="0"/>
              <w:right w:val="single" w:color="auto" w:sz="4" w:space="0"/>
            </w:tcBorders>
            <w:noWrap/>
            <w:vAlign w:val="center"/>
          </w:tcPr>
          <w:p w14:paraId="1196F491">
            <w:pPr>
              <w:spacing w:after="0" w:line="240" w:lineRule="auto"/>
              <w:jc w:val="center"/>
              <w:rPr>
                <w:rFonts w:hint="eastAsia" w:ascii="宋体" w:hAnsi="宋体" w:eastAsia="宋体" w:cs="Times New Roman"/>
                <w:sz w:val="18"/>
                <w:szCs w:val="18"/>
                <w:lang w:eastAsia="zh-CN"/>
              </w:rPr>
            </w:pPr>
            <w:r>
              <w:rPr>
                <w:rFonts w:hint="eastAsia" w:ascii="宋体" w:hAnsi="宋体" w:eastAsia="宋体" w:cs="Times New Roman"/>
                <w:sz w:val="18"/>
                <w:szCs w:val="18"/>
                <w:lang w:eastAsia="zh-CN"/>
              </w:rPr>
              <w:t>＝295户</w:t>
            </w:r>
          </w:p>
        </w:tc>
        <w:tc>
          <w:tcPr>
            <w:tcW w:w="720" w:type="dxa"/>
            <w:tcBorders>
              <w:top w:val="nil"/>
              <w:left w:val="nil"/>
              <w:bottom w:val="single" w:color="auto" w:sz="4" w:space="0"/>
              <w:right w:val="single" w:color="auto" w:sz="4" w:space="0"/>
            </w:tcBorders>
            <w:noWrap/>
            <w:vAlign w:val="center"/>
          </w:tcPr>
          <w:p w14:paraId="67312901">
            <w:pPr>
              <w:spacing w:after="0" w:line="240" w:lineRule="auto"/>
              <w:jc w:val="center"/>
              <w:rPr>
                <w:rFonts w:hint="eastAsia" w:ascii="宋体" w:hAnsi="宋体" w:eastAsia="宋体" w:cs="Times New Roman"/>
                <w:sz w:val="18"/>
                <w:szCs w:val="18"/>
                <w:lang w:eastAsia="zh-CN"/>
              </w:rPr>
            </w:pPr>
            <w:r>
              <w:rPr>
                <w:rFonts w:hint="eastAsia" w:ascii="宋体" w:hAnsi="宋体" w:eastAsia="宋体" w:cs="Times New Roman"/>
                <w:sz w:val="18"/>
                <w:szCs w:val="18"/>
                <w:lang w:eastAsia="zh-CN"/>
              </w:rPr>
              <w:t>18</w:t>
            </w:r>
          </w:p>
        </w:tc>
        <w:tc>
          <w:tcPr>
            <w:tcW w:w="284" w:type="dxa"/>
            <w:tcBorders>
              <w:top w:val="nil"/>
              <w:left w:val="nil"/>
              <w:bottom w:val="nil"/>
              <w:right w:val="nil"/>
            </w:tcBorders>
            <w:noWrap/>
            <w:vAlign w:val="center"/>
          </w:tcPr>
          <w:p w14:paraId="63FEF7E5">
            <w:pPr>
              <w:spacing w:after="0" w:line="240" w:lineRule="auto"/>
              <w:jc w:val="center"/>
              <w:rPr>
                <w:rFonts w:hint="eastAsia" w:ascii="宋体" w:hAnsi="宋体" w:eastAsia="宋体" w:cs="Times New Roman"/>
                <w:sz w:val="18"/>
                <w:szCs w:val="18"/>
                <w:lang w:eastAsia="zh-CN"/>
              </w:rPr>
            </w:pPr>
          </w:p>
        </w:tc>
      </w:tr>
      <w:tr w14:paraId="56C91D55">
        <w:tblPrEx>
          <w:tblCellMar>
            <w:top w:w="0" w:type="dxa"/>
            <w:left w:w="108" w:type="dxa"/>
            <w:bottom w:w="0" w:type="dxa"/>
            <w:right w:w="108" w:type="dxa"/>
          </w:tblCellMar>
        </w:tblPrEx>
        <w:trPr>
          <w:cantSplit/>
          <w:trHeight w:val="740" w:hRule="atLeast"/>
        </w:trPr>
        <w:tc>
          <w:tcPr>
            <w:tcW w:w="993" w:type="dxa"/>
            <w:vMerge w:val="continue"/>
            <w:tcBorders>
              <w:top w:val="nil"/>
              <w:left w:val="single" w:color="auto" w:sz="4" w:space="0"/>
              <w:bottom w:val="nil"/>
              <w:right w:val="single" w:color="auto" w:sz="4" w:space="0"/>
            </w:tcBorders>
            <w:vAlign w:val="center"/>
          </w:tcPr>
          <w:p w14:paraId="079B8A5D">
            <w:pPr>
              <w:spacing w:after="0" w:line="240" w:lineRule="auto"/>
              <w:rPr>
                <w:rFonts w:hint="eastAsia" w:ascii="宋体" w:hAnsi="宋体" w:eastAsia="宋体" w:cs="Times New Roman"/>
                <w:sz w:val="15"/>
                <w:szCs w:val="15"/>
                <w:lang w:eastAsia="zh-CN"/>
              </w:rPr>
            </w:pPr>
          </w:p>
        </w:tc>
        <w:tc>
          <w:tcPr>
            <w:tcW w:w="8658" w:type="dxa"/>
            <w:vMerge w:val="continue"/>
            <w:tcBorders>
              <w:top w:val="nil"/>
              <w:left w:val="nil"/>
              <w:bottom w:val="nil"/>
              <w:right w:val="single" w:color="auto" w:sz="4" w:space="0"/>
            </w:tcBorders>
            <w:vAlign w:val="center"/>
          </w:tcPr>
          <w:p w14:paraId="7517B526">
            <w:pPr>
              <w:spacing w:after="0" w:line="240" w:lineRule="auto"/>
              <w:rPr>
                <w:rFonts w:hint="eastAsia" w:ascii="宋体" w:hAnsi="宋体" w:eastAsia="宋体" w:cs="Times New Roman"/>
                <w:sz w:val="15"/>
                <w:szCs w:val="15"/>
                <w:lang w:eastAsia="zh-CN"/>
              </w:rPr>
            </w:pPr>
          </w:p>
        </w:tc>
        <w:tc>
          <w:tcPr>
            <w:tcW w:w="1418" w:type="dxa"/>
            <w:tcBorders>
              <w:top w:val="nil"/>
              <w:left w:val="nil"/>
              <w:bottom w:val="single" w:color="auto" w:sz="4" w:space="0"/>
              <w:right w:val="single" w:color="auto" w:sz="4" w:space="0"/>
            </w:tcBorders>
            <w:noWrap/>
            <w:vAlign w:val="center"/>
          </w:tcPr>
          <w:p w14:paraId="298D68D2">
            <w:pPr>
              <w:spacing w:after="0" w:line="240" w:lineRule="auto"/>
              <w:jc w:val="center"/>
              <w:rPr>
                <w:rFonts w:hint="eastAsia" w:ascii="宋体" w:hAnsi="宋体" w:eastAsia="宋体" w:cs="Times New Roman"/>
                <w:sz w:val="18"/>
                <w:szCs w:val="18"/>
                <w:lang w:eastAsia="zh-CN"/>
              </w:rPr>
            </w:pPr>
            <w:r>
              <w:rPr>
                <w:rFonts w:hint="eastAsia" w:ascii="宋体" w:hAnsi="宋体" w:eastAsia="宋体" w:cs="Times New Roman"/>
                <w:sz w:val="18"/>
                <w:szCs w:val="18"/>
                <w:lang w:eastAsia="zh-CN"/>
              </w:rPr>
              <w:t>开展群众性应急救护培训人次</w:t>
            </w:r>
          </w:p>
        </w:tc>
        <w:tc>
          <w:tcPr>
            <w:tcW w:w="1276" w:type="dxa"/>
            <w:tcBorders>
              <w:top w:val="nil"/>
              <w:left w:val="nil"/>
              <w:bottom w:val="single" w:color="auto" w:sz="4" w:space="0"/>
              <w:right w:val="single" w:color="auto" w:sz="4" w:space="0"/>
            </w:tcBorders>
            <w:noWrap/>
            <w:vAlign w:val="center"/>
          </w:tcPr>
          <w:p w14:paraId="30FAF710">
            <w:pPr>
              <w:spacing w:after="0" w:line="240" w:lineRule="auto"/>
              <w:jc w:val="center"/>
              <w:rPr>
                <w:rFonts w:hint="eastAsia" w:ascii="宋体" w:hAnsi="宋体" w:eastAsia="宋体" w:cs="Times New Roman"/>
                <w:sz w:val="18"/>
                <w:szCs w:val="18"/>
                <w:lang w:eastAsia="zh-CN"/>
              </w:rPr>
            </w:pPr>
            <w:r>
              <w:rPr>
                <w:rFonts w:hint="eastAsia" w:ascii="宋体" w:hAnsi="宋体" w:eastAsia="宋体" w:cs="Times New Roman"/>
                <w:sz w:val="18"/>
                <w:szCs w:val="18"/>
                <w:lang w:eastAsia="zh-CN"/>
              </w:rPr>
              <w:t>&gt;=3000</w:t>
            </w:r>
          </w:p>
        </w:tc>
        <w:tc>
          <w:tcPr>
            <w:tcW w:w="1842" w:type="dxa"/>
            <w:tcBorders>
              <w:top w:val="nil"/>
              <w:left w:val="nil"/>
              <w:bottom w:val="single" w:color="auto" w:sz="4" w:space="0"/>
              <w:right w:val="single" w:color="auto" w:sz="4" w:space="0"/>
            </w:tcBorders>
            <w:noWrap/>
            <w:vAlign w:val="center"/>
          </w:tcPr>
          <w:p w14:paraId="26E4F230">
            <w:pPr>
              <w:spacing w:after="0" w:line="240" w:lineRule="auto"/>
              <w:rPr>
                <w:rFonts w:hint="eastAsia" w:ascii="宋体" w:hAnsi="宋体" w:eastAsia="宋体" w:cs="Times New Roman"/>
                <w:sz w:val="18"/>
                <w:szCs w:val="18"/>
                <w:lang w:eastAsia="zh-CN"/>
              </w:rPr>
            </w:pPr>
            <w:r>
              <w:rPr>
                <w:rFonts w:hint="eastAsia" w:ascii="宋体" w:hAnsi="宋体" w:eastAsia="宋体" w:cs="Times New Roman"/>
                <w:sz w:val="18"/>
                <w:szCs w:val="18"/>
                <w:lang w:eastAsia="zh-CN"/>
              </w:rPr>
              <w:t>2024年工作计划</w:t>
            </w:r>
          </w:p>
        </w:tc>
        <w:tc>
          <w:tcPr>
            <w:tcW w:w="993" w:type="dxa"/>
            <w:tcBorders>
              <w:top w:val="nil"/>
              <w:left w:val="nil"/>
              <w:bottom w:val="single" w:color="auto" w:sz="4" w:space="0"/>
              <w:right w:val="single" w:color="auto" w:sz="4" w:space="0"/>
            </w:tcBorders>
            <w:noWrap/>
            <w:vAlign w:val="center"/>
          </w:tcPr>
          <w:p w14:paraId="382BD8F4">
            <w:pPr>
              <w:spacing w:after="0" w:line="240" w:lineRule="auto"/>
              <w:jc w:val="center"/>
              <w:rPr>
                <w:rFonts w:hint="eastAsia" w:ascii="宋体" w:hAnsi="宋体" w:eastAsia="宋体" w:cs="Times New Roman"/>
                <w:sz w:val="18"/>
                <w:szCs w:val="18"/>
                <w:lang w:eastAsia="zh-CN"/>
              </w:rPr>
            </w:pPr>
            <w:r>
              <w:rPr>
                <w:rFonts w:hint="eastAsia" w:ascii="宋体" w:hAnsi="宋体" w:eastAsia="宋体" w:cs="Times New Roman"/>
                <w:sz w:val="18"/>
                <w:szCs w:val="18"/>
                <w:lang w:eastAsia="zh-CN"/>
              </w:rPr>
              <w:t>18</w:t>
            </w:r>
          </w:p>
        </w:tc>
        <w:tc>
          <w:tcPr>
            <w:tcW w:w="992" w:type="dxa"/>
            <w:tcBorders>
              <w:top w:val="nil"/>
              <w:left w:val="nil"/>
              <w:bottom w:val="single" w:color="auto" w:sz="4" w:space="0"/>
              <w:right w:val="single" w:color="auto" w:sz="4" w:space="0"/>
            </w:tcBorders>
            <w:noWrap/>
            <w:vAlign w:val="center"/>
          </w:tcPr>
          <w:p w14:paraId="052EE75B">
            <w:pPr>
              <w:spacing w:after="0" w:line="240" w:lineRule="auto"/>
              <w:jc w:val="center"/>
              <w:rPr>
                <w:rFonts w:hint="eastAsia" w:ascii="宋体" w:hAnsi="宋体" w:eastAsia="宋体" w:cs="Times New Roman"/>
                <w:sz w:val="18"/>
                <w:szCs w:val="18"/>
                <w:lang w:eastAsia="zh-CN"/>
              </w:rPr>
            </w:pPr>
            <w:r>
              <w:rPr>
                <w:rFonts w:hint="eastAsia" w:ascii="宋体" w:hAnsi="宋体" w:eastAsia="宋体" w:cs="Times New Roman"/>
                <w:sz w:val="18"/>
                <w:szCs w:val="18"/>
                <w:lang w:eastAsia="zh-CN"/>
              </w:rPr>
              <w:t>＝9930人</w:t>
            </w:r>
          </w:p>
        </w:tc>
        <w:tc>
          <w:tcPr>
            <w:tcW w:w="720" w:type="dxa"/>
            <w:tcBorders>
              <w:top w:val="nil"/>
              <w:left w:val="nil"/>
              <w:bottom w:val="single" w:color="auto" w:sz="4" w:space="0"/>
              <w:right w:val="single" w:color="auto" w:sz="4" w:space="0"/>
            </w:tcBorders>
            <w:noWrap/>
            <w:vAlign w:val="center"/>
          </w:tcPr>
          <w:p w14:paraId="736E31F2">
            <w:pPr>
              <w:spacing w:after="0" w:line="240" w:lineRule="auto"/>
              <w:jc w:val="center"/>
              <w:rPr>
                <w:rFonts w:hint="eastAsia" w:ascii="宋体" w:hAnsi="宋体" w:eastAsia="宋体" w:cs="Times New Roman"/>
                <w:sz w:val="18"/>
                <w:szCs w:val="18"/>
                <w:lang w:eastAsia="zh-CN"/>
              </w:rPr>
            </w:pPr>
            <w:r>
              <w:rPr>
                <w:rFonts w:hint="eastAsia" w:ascii="宋体" w:hAnsi="宋体" w:eastAsia="宋体" w:cs="Times New Roman"/>
                <w:sz w:val="18"/>
                <w:szCs w:val="18"/>
                <w:lang w:eastAsia="zh-CN"/>
              </w:rPr>
              <w:t>18</w:t>
            </w:r>
          </w:p>
        </w:tc>
        <w:tc>
          <w:tcPr>
            <w:tcW w:w="284" w:type="dxa"/>
            <w:tcBorders>
              <w:top w:val="nil"/>
              <w:left w:val="nil"/>
              <w:bottom w:val="nil"/>
              <w:right w:val="nil"/>
            </w:tcBorders>
            <w:noWrap/>
            <w:vAlign w:val="center"/>
          </w:tcPr>
          <w:p w14:paraId="657F1157">
            <w:pPr>
              <w:spacing w:after="0" w:line="240" w:lineRule="auto"/>
              <w:jc w:val="center"/>
              <w:rPr>
                <w:rFonts w:hint="eastAsia" w:ascii="宋体" w:hAnsi="宋体" w:eastAsia="宋体" w:cs="Times New Roman"/>
                <w:sz w:val="18"/>
                <w:szCs w:val="18"/>
                <w:lang w:eastAsia="zh-CN"/>
              </w:rPr>
            </w:pPr>
          </w:p>
        </w:tc>
      </w:tr>
      <w:tr w14:paraId="7814B642">
        <w:tblPrEx>
          <w:tblCellMar>
            <w:top w:w="0" w:type="dxa"/>
            <w:left w:w="108" w:type="dxa"/>
            <w:bottom w:w="0" w:type="dxa"/>
            <w:right w:w="108" w:type="dxa"/>
          </w:tblCellMar>
        </w:tblPrEx>
        <w:trPr>
          <w:cantSplit/>
          <w:trHeight w:val="740" w:hRule="atLeast"/>
        </w:trPr>
        <w:tc>
          <w:tcPr>
            <w:tcW w:w="993" w:type="dxa"/>
            <w:vMerge w:val="continue"/>
            <w:tcBorders>
              <w:top w:val="nil"/>
              <w:left w:val="single" w:color="auto" w:sz="4" w:space="0"/>
              <w:bottom w:val="single" w:color="auto" w:sz="4" w:space="0"/>
              <w:right w:val="single" w:color="auto" w:sz="4" w:space="0"/>
            </w:tcBorders>
            <w:vAlign w:val="center"/>
          </w:tcPr>
          <w:p w14:paraId="7C7720D7">
            <w:pPr>
              <w:spacing w:after="0" w:line="240" w:lineRule="auto"/>
              <w:rPr>
                <w:rFonts w:hint="eastAsia" w:ascii="宋体" w:hAnsi="宋体" w:eastAsia="宋体" w:cs="Times New Roman"/>
                <w:sz w:val="15"/>
                <w:szCs w:val="15"/>
                <w:lang w:eastAsia="zh-CN"/>
              </w:rPr>
            </w:pPr>
          </w:p>
        </w:tc>
        <w:tc>
          <w:tcPr>
            <w:tcW w:w="1417" w:type="dxa"/>
            <w:tcBorders>
              <w:top w:val="nil"/>
              <w:left w:val="nil"/>
              <w:bottom w:val="single" w:color="auto" w:sz="4" w:space="0"/>
              <w:right w:val="single" w:color="auto" w:sz="4" w:space="0"/>
            </w:tcBorders>
            <w:noWrap/>
            <w:vAlign w:val="center"/>
          </w:tcPr>
          <w:p w14:paraId="0133C594">
            <w:pPr>
              <w:spacing w:after="0" w:line="240" w:lineRule="auto"/>
              <w:jc w:val="center"/>
              <w:rPr>
                <w:rFonts w:hint="eastAsia" w:ascii="宋体" w:hAnsi="宋体" w:eastAsia="宋体" w:cs="Times New Roman"/>
                <w:sz w:val="15"/>
                <w:szCs w:val="15"/>
                <w:lang w:eastAsia="zh-CN"/>
              </w:rPr>
            </w:pPr>
            <w:r>
              <w:rPr>
                <w:rFonts w:hint="eastAsia" w:ascii="宋体" w:hAnsi="宋体" w:eastAsia="宋体" w:cs="Times New Roman"/>
                <w:sz w:val="15"/>
                <w:szCs w:val="15"/>
                <w:lang w:eastAsia="zh-CN"/>
              </w:rPr>
              <w:t>质量指标</w:t>
            </w:r>
          </w:p>
        </w:tc>
        <w:tc>
          <w:tcPr>
            <w:tcW w:w="1418" w:type="dxa"/>
            <w:tcBorders>
              <w:top w:val="nil"/>
              <w:left w:val="nil"/>
              <w:bottom w:val="single" w:color="auto" w:sz="4" w:space="0"/>
              <w:right w:val="single" w:color="auto" w:sz="4" w:space="0"/>
            </w:tcBorders>
            <w:noWrap/>
            <w:vAlign w:val="center"/>
          </w:tcPr>
          <w:p w14:paraId="3A2F80C7">
            <w:pPr>
              <w:spacing w:after="0" w:line="240" w:lineRule="auto"/>
              <w:jc w:val="center"/>
              <w:rPr>
                <w:rFonts w:hint="eastAsia" w:ascii="宋体" w:hAnsi="宋体" w:eastAsia="宋体" w:cs="Times New Roman"/>
                <w:sz w:val="18"/>
                <w:szCs w:val="18"/>
                <w:lang w:eastAsia="zh-CN"/>
              </w:rPr>
            </w:pPr>
            <w:r>
              <w:rPr>
                <w:rFonts w:hint="eastAsia" w:ascii="宋体" w:hAnsi="宋体" w:eastAsia="宋体" w:cs="Times New Roman"/>
                <w:sz w:val="18"/>
                <w:szCs w:val="18"/>
                <w:lang w:eastAsia="zh-CN"/>
              </w:rPr>
              <w:t>“三公经费”控制率</w:t>
            </w:r>
          </w:p>
        </w:tc>
        <w:tc>
          <w:tcPr>
            <w:tcW w:w="1276" w:type="dxa"/>
            <w:tcBorders>
              <w:top w:val="nil"/>
              <w:left w:val="nil"/>
              <w:bottom w:val="single" w:color="auto" w:sz="4" w:space="0"/>
              <w:right w:val="single" w:color="auto" w:sz="4" w:space="0"/>
            </w:tcBorders>
            <w:noWrap/>
            <w:vAlign w:val="center"/>
          </w:tcPr>
          <w:p w14:paraId="4B6C2D1B">
            <w:pPr>
              <w:spacing w:after="0" w:line="240" w:lineRule="auto"/>
              <w:jc w:val="center"/>
              <w:rPr>
                <w:rFonts w:hint="eastAsia" w:ascii="宋体" w:hAnsi="宋体" w:eastAsia="宋体" w:cs="Times New Roman"/>
                <w:sz w:val="18"/>
                <w:szCs w:val="18"/>
                <w:lang w:eastAsia="zh-CN"/>
              </w:rPr>
            </w:pPr>
            <w:r>
              <w:rPr>
                <w:rFonts w:hint="eastAsia" w:ascii="宋体" w:hAnsi="宋体" w:eastAsia="宋体" w:cs="Times New Roman"/>
                <w:sz w:val="18"/>
                <w:szCs w:val="18"/>
                <w:lang w:eastAsia="zh-CN"/>
              </w:rPr>
              <w:t>=100%</w:t>
            </w:r>
          </w:p>
        </w:tc>
        <w:tc>
          <w:tcPr>
            <w:tcW w:w="1842" w:type="dxa"/>
            <w:tcBorders>
              <w:top w:val="nil"/>
              <w:left w:val="nil"/>
              <w:bottom w:val="single" w:color="auto" w:sz="4" w:space="0"/>
              <w:right w:val="single" w:color="auto" w:sz="4" w:space="0"/>
            </w:tcBorders>
            <w:noWrap/>
            <w:vAlign w:val="center"/>
          </w:tcPr>
          <w:p w14:paraId="100B4FCF">
            <w:pPr>
              <w:spacing w:after="0" w:line="240" w:lineRule="auto"/>
              <w:rPr>
                <w:rFonts w:hint="eastAsia" w:ascii="宋体" w:hAnsi="宋体" w:eastAsia="宋体" w:cs="Times New Roman"/>
                <w:sz w:val="18"/>
                <w:szCs w:val="18"/>
                <w:lang w:eastAsia="zh-CN"/>
              </w:rPr>
            </w:pPr>
            <w:r>
              <w:rPr>
                <w:rFonts w:hint="eastAsia" w:ascii="宋体" w:hAnsi="宋体" w:eastAsia="宋体" w:cs="Times New Roman"/>
                <w:sz w:val="18"/>
                <w:szCs w:val="18"/>
                <w:lang w:eastAsia="zh-CN"/>
              </w:rPr>
              <w:t>《党政机关厉行节约反对浪费条例》（中发[2013]3号）</w:t>
            </w:r>
          </w:p>
        </w:tc>
        <w:tc>
          <w:tcPr>
            <w:tcW w:w="993" w:type="dxa"/>
            <w:tcBorders>
              <w:top w:val="nil"/>
              <w:left w:val="nil"/>
              <w:bottom w:val="single" w:color="auto" w:sz="4" w:space="0"/>
              <w:right w:val="single" w:color="auto" w:sz="4" w:space="0"/>
            </w:tcBorders>
            <w:noWrap/>
            <w:vAlign w:val="center"/>
          </w:tcPr>
          <w:p w14:paraId="1D017A5D">
            <w:pPr>
              <w:spacing w:after="0" w:line="240" w:lineRule="auto"/>
              <w:jc w:val="center"/>
              <w:rPr>
                <w:rFonts w:hint="eastAsia" w:ascii="宋体" w:hAnsi="宋体" w:eastAsia="宋体" w:cs="Times New Roman"/>
                <w:sz w:val="18"/>
                <w:szCs w:val="18"/>
                <w:lang w:eastAsia="zh-CN"/>
              </w:rPr>
            </w:pPr>
            <w:r>
              <w:rPr>
                <w:rFonts w:hint="eastAsia" w:ascii="宋体" w:hAnsi="宋体" w:eastAsia="宋体" w:cs="Times New Roman"/>
                <w:sz w:val="18"/>
                <w:szCs w:val="18"/>
                <w:lang w:eastAsia="zh-CN"/>
              </w:rPr>
              <w:t>18</w:t>
            </w:r>
          </w:p>
        </w:tc>
        <w:tc>
          <w:tcPr>
            <w:tcW w:w="992" w:type="dxa"/>
            <w:tcBorders>
              <w:top w:val="nil"/>
              <w:left w:val="nil"/>
              <w:bottom w:val="single" w:color="auto" w:sz="4" w:space="0"/>
              <w:right w:val="single" w:color="auto" w:sz="4" w:space="0"/>
            </w:tcBorders>
            <w:noWrap/>
            <w:vAlign w:val="center"/>
          </w:tcPr>
          <w:p w14:paraId="5CC0042C">
            <w:pPr>
              <w:spacing w:after="0" w:line="240" w:lineRule="auto"/>
              <w:jc w:val="center"/>
              <w:rPr>
                <w:rFonts w:hint="eastAsia" w:ascii="宋体" w:hAnsi="宋体" w:eastAsia="宋体" w:cs="Times New Roman"/>
                <w:sz w:val="18"/>
                <w:szCs w:val="18"/>
                <w:lang w:eastAsia="zh-CN"/>
              </w:rPr>
            </w:pPr>
            <w:r>
              <w:rPr>
                <w:rFonts w:hint="eastAsia" w:ascii="宋体" w:hAnsi="宋体" w:eastAsia="宋体" w:cs="Times New Roman"/>
                <w:sz w:val="18"/>
                <w:szCs w:val="18"/>
                <w:lang w:eastAsia="zh-CN"/>
              </w:rPr>
              <w:t>＝100%</w:t>
            </w:r>
          </w:p>
        </w:tc>
        <w:tc>
          <w:tcPr>
            <w:tcW w:w="720" w:type="dxa"/>
            <w:tcBorders>
              <w:top w:val="nil"/>
              <w:left w:val="nil"/>
              <w:bottom w:val="single" w:color="auto" w:sz="4" w:space="0"/>
              <w:right w:val="single" w:color="auto" w:sz="4" w:space="0"/>
            </w:tcBorders>
            <w:noWrap/>
            <w:vAlign w:val="center"/>
          </w:tcPr>
          <w:p w14:paraId="4D6CE346">
            <w:pPr>
              <w:spacing w:after="0" w:line="240" w:lineRule="auto"/>
              <w:jc w:val="center"/>
              <w:rPr>
                <w:rFonts w:hint="eastAsia" w:ascii="宋体" w:hAnsi="宋体" w:eastAsia="宋体" w:cs="Times New Roman"/>
                <w:sz w:val="18"/>
                <w:szCs w:val="18"/>
                <w:lang w:eastAsia="zh-CN"/>
              </w:rPr>
            </w:pPr>
            <w:r>
              <w:rPr>
                <w:rFonts w:hint="eastAsia" w:ascii="宋体" w:hAnsi="宋体" w:eastAsia="宋体" w:cs="Times New Roman"/>
                <w:sz w:val="18"/>
                <w:szCs w:val="18"/>
                <w:lang w:eastAsia="zh-CN"/>
              </w:rPr>
              <w:t>18</w:t>
            </w:r>
          </w:p>
        </w:tc>
        <w:tc>
          <w:tcPr>
            <w:tcW w:w="284" w:type="dxa"/>
            <w:tcBorders>
              <w:top w:val="nil"/>
              <w:left w:val="nil"/>
              <w:bottom w:val="nil"/>
              <w:right w:val="nil"/>
            </w:tcBorders>
            <w:noWrap/>
            <w:vAlign w:val="center"/>
          </w:tcPr>
          <w:p w14:paraId="6557E5B8">
            <w:pPr>
              <w:spacing w:after="0" w:line="240" w:lineRule="auto"/>
              <w:jc w:val="center"/>
              <w:rPr>
                <w:rFonts w:hint="eastAsia" w:ascii="宋体" w:hAnsi="宋体" w:eastAsia="宋体" w:cs="Times New Roman"/>
                <w:sz w:val="18"/>
                <w:szCs w:val="18"/>
                <w:lang w:eastAsia="zh-CN"/>
              </w:rPr>
            </w:pPr>
          </w:p>
        </w:tc>
      </w:tr>
    </w:tbl>
    <w:p w14:paraId="4DA0E9D4">
      <w:pPr>
        <w:widowControl w:val="0"/>
        <w:spacing w:after="0" w:line="240" w:lineRule="auto"/>
        <w:jc w:val="center"/>
        <w:rPr>
          <w:rFonts w:hint="eastAsia" w:ascii="宋体" w:hAnsi="宋体" w:eastAsia="宋体" w:cs="Times New Roman"/>
          <w:b/>
          <w:bCs/>
          <w:sz w:val="18"/>
          <w:szCs w:val="18"/>
          <w:lang w:eastAsia="zh-CN"/>
        </w:rPr>
      </w:pPr>
      <w:r>
        <w:rPr>
          <w:rFonts w:hint="eastAsia" w:ascii="宋体" w:hAnsi="宋体" w:eastAsia="宋体" w:cs="Times New Roman"/>
          <w:b/>
          <w:bCs/>
          <w:sz w:val="18"/>
          <w:szCs w:val="18"/>
          <w:lang w:eastAsia="zh-CN"/>
        </w:rPr>
        <w:br w:type="page"/>
      </w:r>
    </w:p>
    <w:p w14:paraId="31373A91">
      <w:pPr>
        <w:spacing w:after="0" w:line="240" w:lineRule="auto"/>
        <w:ind w:firstLine="640" w:firstLineChars="200"/>
        <w:outlineLvl w:val="1"/>
        <w:rPr>
          <w:rFonts w:hint="eastAsia" w:ascii="黑体" w:eastAsia="黑体"/>
          <w:sz w:val="32"/>
          <w:szCs w:val="32"/>
          <w:lang w:eastAsia="zh-CN"/>
        </w:rPr>
      </w:pPr>
      <w:r>
        <w:rPr>
          <w:rFonts w:ascii="黑体" w:eastAsia="黑体"/>
          <w:sz w:val="32"/>
          <w:szCs w:val="32"/>
          <w:lang w:eastAsia="zh-CN"/>
        </w:rPr>
        <w:t>十二、其他需说明的事项</w:t>
      </w:r>
    </w:p>
    <w:p w14:paraId="2ECE8A45">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本单位无其他需说明事项。</w:t>
      </w:r>
    </w:p>
    <w:p w14:paraId="449B3862">
      <w:pPr>
        <w:spacing w:after="0" w:line="240" w:lineRule="auto"/>
        <w:ind w:firstLine="640" w:firstLineChars="200"/>
        <w:rPr>
          <w:rFonts w:hint="eastAsia" w:ascii="仿宋_GB2312" w:eastAsia="仿宋_GB2312"/>
          <w:sz w:val="32"/>
          <w:szCs w:val="32"/>
          <w:lang w:eastAsia="zh-CN"/>
        </w:rPr>
      </w:pPr>
    </w:p>
    <w:p w14:paraId="11CECDBD">
      <w:pPr>
        <w:rPr>
          <w:rFonts w:hint="eastAsia"/>
          <w:lang w:eastAsia="zh-CN"/>
        </w:rPr>
      </w:pPr>
      <w:r>
        <w:rPr>
          <w:sz w:val="0"/>
          <w:szCs w:val="0"/>
          <w:lang w:eastAsia="zh-CN"/>
        </w:rPr>
        <w:br w:type="page"/>
      </w:r>
    </w:p>
    <w:p w14:paraId="45B77FBC">
      <w:pPr>
        <w:spacing w:after="0" w:line="240" w:lineRule="auto"/>
        <w:jc w:val="center"/>
        <w:outlineLvl w:val="0"/>
        <w:rPr>
          <w:rFonts w:hint="eastAsia" w:ascii="黑体" w:eastAsia="黑体"/>
          <w:sz w:val="32"/>
          <w:szCs w:val="32"/>
          <w:lang w:eastAsia="zh-CN"/>
        </w:rPr>
      </w:pPr>
      <w:r>
        <w:rPr>
          <w:rFonts w:ascii="黑体" w:eastAsia="黑体"/>
          <w:sz w:val="32"/>
          <w:szCs w:val="32"/>
          <w:lang w:eastAsia="zh-CN"/>
        </w:rPr>
        <w:t>第三部分 专业名词解释</w:t>
      </w:r>
    </w:p>
    <w:p w14:paraId="2BAC325B">
      <w:pPr>
        <w:spacing w:after="0" w:line="240" w:lineRule="auto"/>
        <w:ind w:firstLine="643" w:firstLineChars="200"/>
        <w:rPr>
          <w:rFonts w:hint="eastAsia" w:ascii="仿宋_GB2312" w:eastAsia="仿宋_GB2312"/>
          <w:sz w:val="32"/>
          <w:szCs w:val="32"/>
          <w:lang w:eastAsia="zh-CN"/>
        </w:rPr>
      </w:pPr>
      <w:r>
        <w:rPr>
          <w:rFonts w:ascii="仿宋_GB2312" w:eastAsia="仿宋_GB2312"/>
          <w:b/>
          <w:sz w:val="32"/>
          <w:szCs w:val="32"/>
          <w:lang w:eastAsia="zh-CN"/>
        </w:rPr>
        <w:t>一、财政拨款收入：</w:t>
      </w:r>
      <w:r>
        <w:rPr>
          <w:rFonts w:ascii="仿宋_GB2312" w:eastAsia="仿宋_GB2312"/>
          <w:sz w:val="32"/>
          <w:szCs w:val="32"/>
          <w:lang w:eastAsia="zh-CN"/>
        </w:rPr>
        <w:t>指同级财政当年拨付的资金。</w:t>
      </w:r>
    </w:p>
    <w:p w14:paraId="0814857C">
      <w:pPr>
        <w:spacing w:after="0" w:line="240" w:lineRule="auto"/>
        <w:ind w:firstLine="643" w:firstLineChars="200"/>
        <w:rPr>
          <w:rFonts w:hint="eastAsia" w:ascii="仿宋_GB2312" w:eastAsia="仿宋_GB2312"/>
          <w:sz w:val="32"/>
          <w:szCs w:val="32"/>
          <w:lang w:eastAsia="zh-CN"/>
        </w:rPr>
      </w:pPr>
      <w:r>
        <w:rPr>
          <w:rFonts w:ascii="仿宋_GB2312" w:eastAsia="仿宋_GB2312"/>
          <w:b/>
          <w:sz w:val="32"/>
          <w:szCs w:val="32"/>
          <w:lang w:eastAsia="zh-CN"/>
        </w:rPr>
        <w:t>二、上级补助收入：</w:t>
      </w:r>
      <w:r>
        <w:rPr>
          <w:rFonts w:ascii="仿宋_GB2312" w:eastAsia="仿宋_GB2312"/>
          <w:sz w:val="32"/>
          <w:szCs w:val="32"/>
          <w:lang w:eastAsia="zh-CN"/>
        </w:rPr>
        <w:t>指事业单位从主管部门和上级单位取得的非财政补助收入。</w:t>
      </w:r>
    </w:p>
    <w:p w14:paraId="165190E9">
      <w:pPr>
        <w:spacing w:after="0" w:line="240" w:lineRule="auto"/>
        <w:ind w:firstLine="643" w:firstLineChars="200"/>
        <w:rPr>
          <w:rFonts w:hint="eastAsia" w:ascii="仿宋_GB2312" w:eastAsia="仿宋_GB2312"/>
          <w:sz w:val="32"/>
          <w:szCs w:val="32"/>
          <w:lang w:eastAsia="zh-CN"/>
        </w:rPr>
      </w:pPr>
      <w:r>
        <w:rPr>
          <w:rFonts w:ascii="仿宋_GB2312" w:eastAsia="仿宋_GB2312"/>
          <w:b/>
          <w:sz w:val="32"/>
          <w:szCs w:val="32"/>
          <w:lang w:eastAsia="zh-CN"/>
        </w:rPr>
        <w:t>三、事业收入：</w:t>
      </w:r>
      <w:r>
        <w:rPr>
          <w:rFonts w:ascii="仿宋_GB2312" w:eastAsia="仿宋_GB2312"/>
          <w:sz w:val="32"/>
          <w:szCs w:val="32"/>
          <w:lang w:eastAsia="zh-CN"/>
        </w:rPr>
        <w:t>指事业单位开展专业业务活动及其辅助活动所取得的收入。</w:t>
      </w:r>
    </w:p>
    <w:p w14:paraId="5230EA39">
      <w:pPr>
        <w:spacing w:after="0" w:line="240" w:lineRule="auto"/>
        <w:ind w:firstLine="643" w:firstLineChars="200"/>
        <w:rPr>
          <w:rFonts w:hint="eastAsia" w:ascii="仿宋_GB2312" w:eastAsia="仿宋_GB2312"/>
          <w:sz w:val="32"/>
          <w:szCs w:val="32"/>
          <w:lang w:eastAsia="zh-CN"/>
        </w:rPr>
      </w:pPr>
      <w:r>
        <w:rPr>
          <w:rFonts w:ascii="仿宋_GB2312" w:eastAsia="仿宋_GB2312"/>
          <w:b/>
          <w:sz w:val="32"/>
          <w:szCs w:val="32"/>
          <w:lang w:eastAsia="zh-CN"/>
        </w:rPr>
        <w:t>四、经营收入：</w:t>
      </w:r>
      <w:r>
        <w:rPr>
          <w:rFonts w:ascii="仿宋_GB2312" w:eastAsia="仿宋_GB2312"/>
          <w:sz w:val="32"/>
          <w:szCs w:val="32"/>
          <w:lang w:eastAsia="zh-CN"/>
        </w:rPr>
        <w:t>指事业单位在专业业务活动及其辅助活动之外开展非独立核算经营活动取得的收入。</w:t>
      </w:r>
    </w:p>
    <w:p w14:paraId="399673A9">
      <w:pPr>
        <w:spacing w:after="0" w:line="240" w:lineRule="auto"/>
        <w:ind w:firstLine="643" w:firstLineChars="200"/>
        <w:rPr>
          <w:rFonts w:hint="eastAsia" w:ascii="仿宋_GB2312" w:eastAsia="仿宋_GB2312"/>
          <w:sz w:val="32"/>
          <w:szCs w:val="32"/>
          <w:lang w:eastAsia="zh-CN"/>
        </w:rPr>
      </w:pPr>
      <w:r>
        <w:rPr>
          <w:rFonts w:ascii="仿宋_GB2312" w:eastAsia="仿宋_GB2312"/>
          <w:b/>
          <w:sz w:val="32"/>
          <w:szCs w:val="32"/>
          <w:lang w:eastAsia="zh-CN"/>
        </w:rPr>
        <w:t>五、附属单位上缴收入：</w:t>
      </w:r>
      <w:r>
        <w:rPr>
          <w:rFonts w:ascii="仿宋_GB2312" w:eastAsia="仿宋_GB2312"/>
          <w:sz w:val="32"/>
          <w:szCs w:val="32"/>
          <w:lang w:eastAsia="zh-CN"/>
        </w:rPr>
        <w:t>指事业单位附属的独立核算单位按有关规定上缴的收入。</w:t>
      </w:r>
    </w:p>
    <w:p w14:paraId="5BDFE3E6">
      <w:pPr>
        <w:spacing w:after="0" w:line="240" w:lineRule="auto"/>
        <w:ind w:firstLine="643" w:firstLineChars="200"/>
        <w:rPr>
          <w:rFonts w:hint="eastAsia" w:ascii="仿宋_GB2312" w:eastAsia="仿宋_GB2312"/>
          <w:sz w:val="32"/>
          <w:szCs w:val="32"/>
          <w:lang w:eastAsia="zh-CN"/>
        </w:rPr>
      </w:pPr>
      <w:r>
        <w:rPr>
          <w:rFonts w:ascii="仿宋_GB2312" w:eastAsia="仿宋_GB2312"/>
          <w:b/>
          <w:sz w:val="32"/>
          <w:szCs w:val="32"/>
          <w:lang w:eastAsia="zh-CN"/>
        </w:rPr>
        <w:t>六、其他收入：</w:t>
      </w:r>
      <w:r>
        <w:rPr>
          <w:rFonts w:ascii="仿宋_GB2312" w:eastAsia="仿宋_GB2312"/>
          <w:sz w:val="32"/>
          <w:szCs w:val="32"/>
          <w:lang w:eastAsia="zh-CN"/>
        </w:rPr>
        <w:t>指除上述“财政拨款收入”、“事业收入”、“经营收入”、“附属单位上缴收入”等之外取得的收入。</w:t>
      </w:r>
    </w:p>
    <w:p w14:paraId="3736CFAA">
      <w:pPr>
        <w:spacing w:after="0" w:line="240" w:lineRule="auto"/>
        <w:ind w:firstLine="643" w:firstLineChars="200"/>
        <w:rPr>
          <w:rFonts w:hint="eastAsia" w:ascii="仿宋_GB2312" w:eastAsia="仿宋_GB2312"/>
          <w:sz w:val="32"/>
          <w:szCs w:val="32"/>
          <w:lang w:eastAsia="zh-CN"/>
        </w:rPr>
      </w:pPr>
      <w:r>
        <w:rPr>
          <w:rFonts w:ascii="仿宋_GB2312" w:eastAsia="仿宋_GB2312"/>
          <w:b/>
          <w:sz w:val="32"/>
          <w:szCs w:val="32"/>
          <w:lang w:eastAsia="zh-CN"/>
        </w:rPr>
        <w:t>七、年初结转和结余：</w:t>
      </w:r>
      <w:r>
        <w:rPr>
          <w:rFonts w:ascii="仿宋_GB2312" w:eastAsia="仿宋_GB2312"/>
          <w:sz w:val="32"/>
          <w:szCs w:val="32"/>
          <w:lang w:eastAsia="zh-CN"/>
        </w:rPr>
        <w:t>指以前年度支出预算因客观条件变化未执行完毕、结转到本年度按有关规定继续使用的资金，既包括财政拨款结转和结余，也包括事业收入、经营收入、其他收入的结转和结余。</w:t>
      </w:r>
    </w:p>
    <w:p w14:paraId="4CC96FD1">
      <w:pPr>
        <w:spacing w:after="0" w:line="240" w:lineRule="auto"/>
        <w:ind w:firstLine="643" w:firstLineChars="200"/>
        <w:rPr>
          <w:rFonts w:hint="eastAsia" w:ascii="仿宋_GB2312" w:eastAsia="仿宋_GB2312"/>
          <w:sz w:val="32"/>
          <w:szCs w:val="32"/>
          <w:lang w:eastAsia="zh-CN"/>
        </w:rPr>
      </w:pPr>
      <w:r>
        <w:rPr>
          <w:rFonts w:ascii="仿宋_GB2312" w:eastAsia="仿宋_GB2312"/>
          <w:b/>
          <w:sz w:val="32"/>
          <w:szCs w:val="32"/>
          <w:lang w:eastAsia="zh-CN"/>
        </w:rPr>
        <w:t>八、年末结转和结余：</w:t>
      </w:r>
      <w:r>
        <w:rPr>
          <w:rFonts w:ascii="仿宋_GB2312" w:eastAsia="仿宋_GB2312"/>
          <w:sz w:val="32"/>
          <w:szCs w:val="32"/>
          <w:lang w:eastAsia="zh-CN"/>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66D39491">
      <w:pPr>
        <w:spacing w:after="0" w:line="240" w:lineRule="auto"/>
        <w:ind w:firstLine="643" w:firstLineChars="200"/>
        <w:rPr>
          <w:rFonts w:hint="eastAsia" w:ascii="仿宋_GB2312" w:eastAsia="仿宋_GB2312"/>
          <w:sz w:val="32"/>
          <w:szCs w:val="32"/>
          <w:lang w:eastAsia="zh-CN"/>
        </w:rPr>
      </w:pPr>
      <w:r>
        <w:rPr>
          <w:rFonts w:ascii="仿宋_GB2312" w:eastAsia="仿宋_GB2312"/>
          <w:b/>
          <w:sz w:val="32"/>
          <w:szCs w:val="32"/>
          <w:lang w:eastAsia="zh-CN"/>
        </w:rPr>
        <w:t>九、基本支出：</w:t>
      </w:r>
      <w:r>
        <w:rPr>
          <w:rFonts w:ascii="仿宋_GB2312" w:eastAsia="仿宋_GB2312"/>
          <w:sz w:val="32"/>
          <w:szCs w:val="32"/>
          <w:lang w:eastAsia="zh-CN"/>
        </w:rPr>
        <w:t>指为保障机构正常运转、完成日常工作任务而发生的人员支出和公用支出。</w:t>
      </w:r>
    </w:p>
    <w:p w14:paraId="5DF7713D">
      <w:pPr>
        <w:spacing w:after="0" w:line="240" w:lineRule="auto"/>
        <w:ind w:firstLine="643" w:firstLineChars="200"/>
        <w:rPr>
          <w:rFonts w:hint="eastAsia" w:ascii="仿宋_GB2312" w:eastAsia="仿宋_GB2312"/>
          <w:sz w:val="32"/>
          <w:szCs w:val="32"/>
          <w:lang w:eastAsia="zh-CN"/>
        </w:rPr>
      </w:pPr>
      <w:r>
        <w:rPr>
          <w:rFonts w:ascii="仿宋_GB2312" w:eastAsia="仿宋_GB2312"/>
          <w:b/>
          <w:sz w:val="32"/>
          <w:szCs w:val="32"/>
          <w:lang w:eastAsia="zh-CN"/>
        </w:rPr>
        <w:t>十、项目支出：</w:t>
      </w:r>
      <w:r>
        <w:rPr>
          <w:rFonts w:ascii="仿宋_GB2312" w:eastAsia="仿宋_GB2312"/>
          <w:sz w:val="32"/>
          <w:szCs w:val="32"/>
          <w:lang w:eastAsia="zh-CN"/>
        </w:rPr>
        <w:t>指在基本支出之外为完成特定行政任务和事业发展目标所发生的支出。</w:t>
      </w:r>
    </w:p>
    <w:p w14:paraId="78C026F2">
      <w:pPr>
        <w:spacing w:after="0" w:line="240" w:lineRule="auto"/>
        <w:ind w:firstLine="643" w:firstLineChars="200"/>
        <w:rPr>
          <w:rFonts w:hint="eastAsia" w:ascii="仿宋_GB2312" w:eastAsia="仿宋_GB2312"/>
          <w:sz w:val="32"/>
          <w:szCs w:val="32"/>
          <w:lang w:eastAsia="zh-CN"/>
        </w:rPr>
      </w:pPr>
      <w:r>
        <w:rPr>
          <w:rFonts w:ascii="仿宋_GB2312" w:eastAsia="仿宋_GB2312"/>
          <w:b/>
          <w:sz w:val="32"/>
          <w:szCs w:val="32"/>
          <w:lang w:eastAsia="zh-CN"/>
        </w:rPr>
        <w:t>十一、经营支出：</w:t>
      </w:r>
      <w:r>
        <w:rPr>
          <w:rFonts w:ascii="仿宋_GB2312" w:eastAsia="仿宋_GB2312"/>
          <w:sz w:val="32"/>
          <w:szCs w:val="32"/>
          <w:lang w:eastAsia="zh-CN"/>
        </w:rPr>
        <w:t>指事业单位在专业业务活动及其辅助活动之外开展非独立核算经营活动发生的支出。</w:t>
      </w:r>
    </w:p>
    <w:p w14:paraId="7EA3006E">
      <w:pPr>
        <w:spacing w:after="0" w:line="240" w:lineRule="auto"/>
        <w:ind w:firstLine="643" w:firstLineChars="200"/>
        <w:rPr>
          <w:rFonts w:hint="eastAsia" w:ascii="仿宋_GB2312" w:eastAsia="仿宋_GB2312"/>
          <w:sz w:val="32"/>
          <w:szCs w:val="32"/>
          <w:lang w:eastAsia="zh-CN"/>
        </w:rPr>
      </w:pPr>
      <w:r>
        <w:rPr>
          <w:rFonts w:ascii="仿宋_GB2312" w:eastAsia="仿宋_GB2312"/>
          <w:b/>
          <w:sz w:val="32"/>
          <w:szCs w:val="32"/>
          <w:lang w:eastAsia="zh-CN"/>
        </w:rPr>
        <w:t>十二、对附属单位补助支出：</w:t>
      </w:r>
      <w:r>
        <w:rPr>
          <w:rFonts w:ascii="仿宋_GB2312" w:eastAsia="仿宋_GB2312"/>
          <w:sz w:val="32"/>
          <w:szCs w:val="32"/>
          <w:lang w:eastAsia="zh-CN"/>
        </w:rPr>
        <w:t>指事业单位发生的用非财政预算资金对附属单位的补助支出。</w:t>
      </w:r>
    </w:p>
    <w:p w14:paraId="4E54792A">
      <w:pPr>
        <w:spacing w:after="0" w:line="240" w:lineRule="auto"/>
        <w:ind w:firstLine="643" w:firstLineChars="200"/>
        <w:rPr>
          <w:rFonts w:hint="eastAsia" w:ascii="仿宋_GB2312" w:eastAsia="仿宋_GB2312"/>
          <w:sz w:val="32"/>
          <w:szCs w:val="32"/>
          <w:lang w:eastAsia="zh-CN"/>
        </w:rPr>
      </w:pPr>
      <w:r>
        <w:rPr>
          <w:rFonts w:ascii="仿宋_GB2312" w:eastAsia="仿宋_GB2312"/>
          <w:b/>
          <w:sz w:val="32"/>
          <w:szCs w:val="32"/>
          <w:lang w:eastAsia="zh-CN"/>
        </w:rPr>
        <w:t>十三、“三公”经费：</w:t>
      </w:r>
      <w:r>
        <w:rPr>
          <w:rFonts w:ascii="仿宋_GB2312" w:eastAsia="仿宋_GB2312"/>
          <w:sz w:val="32"/>
          <w:szCs w:val="32"/>
          <w:lang w:eastAsia="zh-CN"/>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19B92E2E">
      <w:pPr>
        <w:spacing w:after="0" w:line="240" w:lineRule="auto"/>
        <w:ind w:firstLine="643" w:firstLineChars="200"/>
        <w:rPr>
          <w:rFonts w:hint="eastAsia" w:ascii="仿宋_GB2312" w:eastAsia="仿宋_GB2312"/>
          <w:sz w:val="32"/>
          <w:szCs w:val="32"/>
          <w:lang w:eastAsia="zh-CN"/>
        </w:rPr>
      </w:pPr>
      <w:r>
        <w:rPr>
          <w:rFonts w:ascii="仿宋_GB2312" w:eastAsia="仿宋_GB2312"/>
          <w:b/>
          <w:sz w:val="32"/>
          <w:szCs w:val="32"/>
          <w:lang w:eastAsia="zh-CN"/>
        </w:rPr>
        <w:t>十四、机关运行经费：</w:t>
      </w:r>
      <w:r>
        <w:rPr>
          <w:rFonts w:ascii="仿宋_GB2312" w:eastAsia="仿宋_GB2312"/>
          <w:sz w:val="32"/>
          <w:szCs w:val="32"/>
          <w:lang w:eastAsia="zh-CN"/>
        </w:rPr>
        <w:t>行政单位和参照公务员法管理的事业单位财政拨款基本支出中的公用经费支出。</w:t>
      </w:r>
    </w:p>
    <w:p w14:paraId="702D6018">
      <w:pPr>
        <w:rPr>
          <w:rFonts w:hint="eastAsia"/>
          <w:lang w:eastAsia="zh-CN"/>
        </w:rPr>
      </w:pPr>
      <w:r>
        <w:rPr>
          <w:sz w:val="0"/>
          <w:szCs w:val="0"/>
          <w:lang w:eastAsia="zh-CN"/>
        </w:rPr>
        <w:br w:type="page"/>
      </w:r>
    </w:p>
    <w:p w14:paraId="17CC5A34">
      <w:pPr>
        <w:spacing w:after="0" w:line="240" w:lineRule="auto"/>
        <w:jc w:val="center"/>
        <w:outlineLvl w:val="0"/>
        <w:rPr>
          <w:rFonts w:hint="eastAsia" w:ascii="黑体" w:eastAsia="黑体"/>
          <w:sz w:val="32"/>
          <w:szCs w:val="32"/>
          <w:lang w:eastAsia="zh-CN"/>
        </w:rPr>
      </w:pPr>
      <w:r>
        <w:rPr>
          <w:rFonts w:ascii="黑体" w:eastAsia="黑体"/>
          <w:sz w:val="32"/>
          <w:szCs w:val="32"/>
          <w:lang w:eastAsia="zh-CN"/>
        </w:rPr>
        <w:t>第四部分 部门决算报表（见附表）</w:t>
      </w:r>
    </w:p>
    <w:p w14:paraId="15AD3C82">
      <w:pPr>
        <w:spacing w:after="0" w:line="240" w:lineRule="auto"/>
        <w:ind w:firstLine="640" w:firstLineChars="200"/>
        <w:outlineLvl w:val="1"/>
        <w:rPr>
          <w:rFonts w:hint="eastAsia" w:ascii="仿宋_GB2312" w:eastAsia="仿宋_GB2312"/>
          <w:sz w:val="32"/>
          <w:szCs w:val="32"/>
          <w:lang w:eastAsia="zh-CN"/>
        </w:rPr>
      </w:pPr>
      <w:r>
        <w:rPr>
          <w:rFonts w:ascii="仿宋_GB2312" w:eastAsia="仿宋_GB2312"/>
          <w:sz w:val="32"/>
          <w:szCs w:val="32"/>
          <w:lang w:eastAsia="zh-CN"/>
        </w:rPr>
        <w:t>一、《收入支出决算总表》</w:t>
      </w:r>
    </w:p>
    <w:p w14:paraId="31F702DF">
      <w:pPr>
        <w:spacing w:after="0" w:line="240" w:lineRule="auto"/>
        <w:ind w:firstLine="640" w:firstLineChars="200"/>
        <w:outlineLvl w:val="1"/>
        <w:rPr>
          <w:rFonts w:hint="eastAsia" w:ascii="仿宋_GB2312" w:eastAsia="仿宋_GB2312"/>
          <w:sz w:val="32"/>
          <w:szCs w:val="32"/>
          <w:lang w:eastAsia="zh-CN"/>
        </w:rPr>
      </w:pPr>
      <w:r>
        <w:rPr>
          <w:rFonts w:ascii="仿宋_GB2312" w:eastAsia="仿宋_GB2312"/>
          <w:sz w:val="32"/>
          <w:szCs w:val="32"/>
          <w:lang w:eastAsia="zh-CN"/>
        </w:rPr>
        <w:t>二、《收入决算表》</w:t>
      </w:r>
    </w:p>
    <w:p w14:paraId="6C35EEF7">
      <w:pPr>
        <w:spacing w:after="0" w:line="240" w:lineRule="auto"/>
        <w:ind w:firstLine="640" w:firstLineChars="200"/>
        <w:outlineLvl w:val="1"/>
        <w:rPr>
          <w:rFonts w:hint="eastAsia" w:ascii="仿宋_GB2312" w:eastAsia="仿宋_GB2312"/>
          <w:sz w:val="32"/>
          <w:szCs w:val="32"/>
          <w:lang w:eastAsia="zh-CN"/>
        </w:rPr>
      </w:pPr>
      <w:r>
        <w:rPr>
          <w:rFonts w:ascii="仿宋_GB2312" w:eastAsia="仿宋_GB2312"/>
          <w:sz w:val="32"/>
          <w:szCs w:val="32"/>
          <w:lang w:eastAsia="zh-CN"/>
        </w:rPr>
        <w:t>三、《支出决算表》</w:t>
      </w:r>
    </w:p>
    <w:p w14:paraId="6C1D5E48">
      <w:pPr>
        <w:spacing w:after="0" w:line="240" w:lineRule="auto"/>
        <w:ind w:firstLine="640" w:firstLineChars="200"/>
        <w:outlineLvl w:val="1"/>
        <w:rPr>
          <w:rFonts w:hint="eastAsia" w:ascii="仿宋_GB2312" w:eastAsia="仿宋_GB2312"/>
          <w:sz w:val="32"/>
          <w:szCs w:val="32"/>
          <w:lang w:eastAsia="zh-CN"/>
        </w:rPr>
      </w:pPr>
      <w:r>
        <w:rPr>
          <w:rFonts w:ascii="仿宋_GB2312" w:eastAsia="仿宋_GB2312"/>
          <w:sz w:val="32"/>
          <w:szCs w:val="32"/>
          <w:lang w:eastAsia="zh-CN"/>
        </w:rPr>
        <w:t>四、《财政拨款收入支出决算总表》</w:t>
      </w:r>
    </w:p>
    <w:p w14:paraId="3DB6E75E">
      <w:pPr>
        <w:spacing w:after="0" w:line="240" w:lineRule="auto"/>
        <w:ind w:firstLine="640" w:firstLineChars="200"/>
        <w:outlineLvl w:val="1"/>
        <w:rPr>
          <w:rFonts w:hint="eastAsia" w:ascii="仿宋_GB2312" w:eastAsia="仿宋_GB2312"/>
          <w:sz w:val="32"/>
          <w:szCs w:val="32"/>
          <w:lang w:eastAsia="zh-CN"/>
        </w:rPr>
      </w:pPr>
      <w:r>
        <w:rPr>
          <w:rFonts w:ascii="仿宋_GB2312" w:eastAsia="仿宋_GB2312"/>
          <w:sz w:val="32"/>
          <w:szCs w:val="32"/>
          <w:lang w:eastAsia="zh-CN"/>
        </w:rPr>
        <w:t>五、《一般公共预算财政拨款支出决算表》</w:t>
      </w:r>
    </w:p>
    <w:p w14:paraId="2CD6DAB0">
      <w:pPr>
        <w:spacing w:after="0" w:line="240" w:lineRule="auto"/>
        <w:ind w:firstLine="640" w:firstLineChars="200"/>
        <w:outlineLvl w:val="1"/>
        <w:rPr>
          <w:rFonts w:hint="eastAsia" w:ascii="仿宋_GB2312" w:eastAsia="仿宋_GB2312"/>
          <w:sz w:val="32"/>
          <w:szCs w:val="32"/>
          <w:lang w:eastAsia="zh-CN"/>
        </w:rPr>
      </w:pPr>
      <w:r>
        <w:rPr>
          <w:rFonts w:ascii="仿宋_GB2312" w:eastAsia="仿宋_GB2312"/>
          <w:sz w:val="32"/>
          <w:szCs w:val="32"/>
          <w:lang w:eastAsia="zh-CN"/>
        </w:rPr>
        <w:t>六、《一般公共预算财政拨款基本支出决算表》</w:t>
      </w:r>
    </w:p>
    <w:p w14:paraId="49906E19">
      <w:pPr>
        <w:spacing w:after="0" w:line="240" w:lineRule="auto"/>
        <w:ind w:firstLine="640" w:firstLineChars="200"/>
        <w:outlineLvl w:val="1"/>
        <w:rPr>
          <w:rFonts w:hint="eastAsia" w:ascii="仿宋_GB2312" w:eastAsia="仿宋_GB2312"/>
          <w:sz w:val="32"/>
          <w:szCs w:val="32"/>
          <w:lang w:eastAsia="zh-CN"/>
        </w:rPr>
      </w:pPr>
      <w:r>
        <w:rPr>
          <w:rFonts w:ascii="仿宋_GB2312" w:eastAsia="仿宋_GB2312"/>
          <w:sz w:val="32"/>
          <w:szCs w:val="32"/>
          <w:lang w:eastAsia="zh-CN"/>
        </w:rPr>
        <w:t>七、《政府性基金预算财政拨款收入支出决算表》</w:t>
      </w:r>
    </w:p>
    <w:p w14:paraId="44DC9EF5">
      <w:pPr>
        <w:spacing w:after="0" w:line="240" w:lineRule="auto"/>
        <w:ind w:firstLine="640" w:firstLineChars="200"/>
        <w:outlineLvl w:val="1"/>
        <w:rPr>
          <w:rFonts w:hint="eastAsia" w:ascii="仿宋_GB2312" w:eastAsia="仿宋_GB2312"/>
          <w:sz w:val="32"/>
          <w:szCs w:val="32"/>
          <w:lang w:eastAsia="zh-CN"/>
        </w:rPr>
      </w:pPr>
      <w:r>
        <w:rPr>
          <w:rFonts w:ascii="仿宋_GB2312" w:eastAsia="仿宋_GB2312"/>
          <w:sz w:val="32"/>
          <w:szCs w:val="32"/>
          <w:lang w:eastAsia="zh-CN"/>
        </w:rPr>
        <w:t>八、《国有资本经营预算财政拨款收入支出决算表》</w:t>
      </w:r>
    </w:p>
    <w:p w14:paraId="5ECAE9BB">
      <w:pPr>
        <w:spacing w:after="0" w:line="240" w:lineRule="auto"/>
        <w:ind w:firstLine="640" w:firstLineChars="200"/>
        <w:outlineLvl w:val="1"/>
        <w:rPr>
          <w:rFonts w:hint="eastAsia" w:ascii="仿宋_GB2312" w:eastAsia="仿宋_GB2312"/>
          <w:sz w:val="32"/>
          <w:szCs w:val="32"/>
          <w:lang w:eastAsia="zh-CN"/>
        </w:rPr>
      </w:pPr>
      <w:r>
        <w:rPr>
          <w:rFonts w:ascii="仿宋_GB2312" w:eastAsia="仿宋_GB2312"/>
          <w:sz w:val="32"/>
          <w:szCs w:val="32"/>
          <w:lang w:eastAsia="zh-CN"/>
        </w:rPr>
        <w:t>九、《财政拨款“三公”经费支出决算表》</w:t>
      </w:r>
    </w:p>
    <w:sectPr>
      <w:pgSz w:w="12240" w:h="15840"/>
      <w:pgMar w:top="1440" w:right="1800" w:bottom="1440" w:left="1800" w:header="720" w:footer="720"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1"/>
  <w:bordersDoNotSurroundFooter w:val="1"/>
  <w:documentProtection w:enforcement="0"/>
  <w:defaultTabStop w:val="420"/>
  <w:characterSpacingControl w:val="doNotCompress"/>
  <w:footnotePr>
    <w:footnote w:id="0"/>
    <w:footnote w:id="1"/>
  </w:footnotePr>
  <w:endnotePr>
    <w:endnote w:id="0"/>
    <w:endnote w:id="1"/>
  </w:endnotePr>
  <w:compat>
    <w:useFELayout/>
    <w:compatSetting w:name="compatibilityMode" w:uri="http://schemas.microsoft.com/office/word" w:val="12"/>
    <w:compatSetting w:name="overrideTableStyleFontSizeAndJustification" w:uri="http://schemas.microsoft.com/office/word" w:val="1"/>
  </w:compat>
  <w:docVars>
    <w:docVar w:name="commondata" w:val="eyJoZGlkIjoiODViY2JkMjU3NGYzZTEwMzZmMGFkZWViYmNkYWU3NDIifQ=="/>
  </w:docVars>
  <w:rsids>
    <w:rsidRoot w:val="00F207AB"/>
    <w:rsid w:val="000B11C2"/>
    <w:rsid w:val="000E405C"/>
    <w:rsid w:val="00243425"/>
    <w:rsid w:val="004A56B1"/>
    <w:rsid w:val="005E59E0"/>
    <w:rsid w:val="00626EDF"/>
    <w:rsid w:val="006E133F"/>
    <w:rsid w:val="009E6F90"/>
    <w:rsid w:val="00A87065"/>
    <w:rsid w:val="00E6639C"/>
    <w:rsid w:val="00F207AB"/>
    <w:rsid w:val="164E3BC6"/>
    <w:rsid w:val="209C2F4E"/>
    <w:rsid w:val="2B7A6A7B"/>
    <w:rsid w:val="4587696E"/>
    <w:rsid w:val="5125228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uiPriority="99" w:name="heading 5"/>
    <w:lsdException w:uiPriority="99" w:name="heading 6"/>
    <w:lsdException w:uiPriority="99" w:name="heading 7"/>
    <w:lsdException w:uiPriority="99" w:name="heading 8"/>
    <w:lsdException w:uiPriority="9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99" w:name="toc 1"/>
    <w:lsdException w:uiPriority="99" w:name="toc 2"/>
    <w:lsdException w:uiPriority="99" w:name="toc 3"/>
    <w:lsdException w:uiPriority="99" w:name="toc 4"/>
    <w:lsdException w:uiPriority="99" w:name="toc 5"/>
    <w:lsdException w:uiPriority="99" w:name="toc 6"/>
    <w:lsdException w:uiPriority="99" w:name="toc 7"/>
    <w:lsdException w:uiPriority="99" w:name="toc 8"/>
    <w:lsdException w:uiPriority="99" w:name="toc 9"/>
    <w:lsdException w:qFormat="1" w:uiPriority="99" w:semiHidden="0"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uiPriority="99"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pPr>
    <w:rPr>
      <w:rFonts w:asciiTheme="minorHAnsi" w:hAnsiTheme="minorHAnsi" w:eastAsiaTheme="minorEastAsia" w:cstheme="minorBidi"/>
      <w:sz w:val="22"/>
      <w:szCs w:val="22"/>
      <w:lang w:val="en-US" w:eastAsia="en-US" w:bidi="ar-SA"/>
    </w:rPr>
  </w:style>
  <w:style w:type="paragraph" w:styleId="2">
    <w:name w:val="heading 1"/>
    <w:basedOn w:val="1"/>
    <w:next w:val="1"/>
    <w:link w:val="18"/>
    <w:qFormat/>
    <w:uiPriority w:val="9"/>
    <w:pPr>
      <w:keepNext/>
      <w:keepLines/>
      <w:spacing w:before="480"/>
      <w:outlineLvl w:val="0"/>
    </w:pPr>
    <w:rPr>
      <w:rFonts w:asciiTheme="majorHAnsi" w:hAnsiTheme="majorHAnsi" w:eastAsiaTheme="majorEastAsia" w:cstheme="majorBidi"/>
      <w:b/>
      <w:bCs/>
      <w:color w:val="2F5496" w:themeColor="accent1" w:themeShade="BF"/>
      <w:sz w:val="28"/>
      <w:szCs w:val="28"/>
    </w:rPr>
  </w:style>
  <w:style w:type="paragraph" w:styleId="3">
    <w:name w:val="heading 2"/>
    <w:basedOn w:val="1"/>
    <w:next w:val="1"/>
    <w:link w:val="19"/>
    <w:unhideWhenUsed/>
    <w:qFormat/>
    <w:uiPriority w:val="9"/>
    <w:pPr>
      <w:keepNext/>
      <w:keepLines/>
      <w:spacing w:before="200"/>
      <w:outlineLvl w:val="1"/>
    </w:pPr>
    <w:rPr>
      <w:rFonts w:asciiTheme="majorHAnsi" w:hAnsiTheme="majorHAnsi" w:eastAsiaTheme="majorEastAsia" w:cstheme="majorBidi"/>
      <w:b/>
      <w:bCs/>
      <w:color w:val="4472C4" w:themeColor="accent1"/>
      <w:sz w:val="26"/>
      <w:szCs w:val="26"/>
    </w:rPr>
  </w:style>
  <w:style w:type="paragraph" w:styleId="4">
    <w:name w:val="heading 3"/>
    <w:basedOn w:val="1"/>
    <w:next w:val="1"/>
    <w:link w:val="20"/>
    <w:unhideWhenUsed/>
    <w:qFormat/>
    <w:uiPriority w:val="9"/>
    <w:pPr>
      <w:keepNext/>
      <w:keepLines/>
      <w:spacing w:before="200"/>
      <w:outlineLvl w:val="2"/>
    </w:pPr>
    <w:rPr>
      <w:rFonts w:asciiTheme="majorHAnsi" w:hAnsiTheme="majorHAnsi" w:eastAsiaTheme="majorEastAsia" w:cstheme="majorBidi"/>
      <w:b/>
      <w:bCs/>
      <w:color w:val="4472C4" w:themeColor="accent1"/>
    </w:rPr>
  </w:style>
  <w:style w:type="paragraph" w:styleId="5">
    <w:name w:val="heading 4"/>
    <w:basedOn w:val="1"/>
    <w:next w:val="1"/>
    <w:link w:val="21"/>
    <w:unhideWhenUsed/>
    <w:qFormat/>
    <w:uiPriority w:val="9"/>
    <w:pPr>
      <w:keepNext/>
      <w:keepLines/>
      <w:spacing w:before="200"/>
      <w:outlineLvl w:val="3"/>
    </w:pPr>
    <w:rPr>
      <w:rFonts w:asciiTheme="majorHAnsi" w:hAnsiTheme="majorHAnsi" w:eastAsiaTheme="majorEastAsia" w:cstheme="majorBidi"/>
      <w:b/>
      <w:bCs/>
      <w:i/>
      <w:iCs/>
      <w:color w:val="4472C4" w:themeColor="accent1"/>
    </w:rPr>
  </w:style>
  <w:style w:type="character" w:default="1" w:styleId="14">
    <w:name w:val="Default Paragraph Font"/>
    <w:semiHidden/>
    <w:unhideWhenUsed/>
    <w:qFormat/>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paragraph" w:styleId="6">
    <w:name w:val="Normal Indent"/>
    <w:basedOn w:val="1"/>
    <w:unhideWhenUsed/>
    <w:qFormat/>
    <w:uiPriority w:val="99"/>
    <w:pPr>
      <w:ind w:left="720"/>
    </w:pPr>
  </w:style>
  <w:style w:type="paragraph" w:styleId="7">
    <w:name w:val="caption"/>
    <w:basedOn w:val="1"/>
    <w:next w:val="1"/>
    <w:semiHidden/>
    <w:unhideWhenUsed/>
    <w:qFormat/>
    <w:uiPriority w:val="35"/>
    <w:pPr>
      <w:spacing w:line="240" w:lineRule="auto"/>
    </w:pPr>
    <w:rPr>
      <w:b/>
      <w:bCs/>
      <w:color w:val="4472C4" w:themeColor="accent1"/>
      <w:sz w:val="18"/>
      <w:szCs w:val="18"/>
    </w:rPr>
  </w:style>
  <w:style w:type="paragraph" w:styleId="8">
    <w:name w:val="footer"/>
    <w:basedOn w:val="1"/>
    <w:link w:val="24"/>
    <w:unhideWhenUsed/>
    <w:qFormat/>
    <w:uiPriority w:val="99"/>
    <w:pPr>
      <w:tabs>
        <w:tab w:val="center" w:pos="4153"/>
        <w:tab w:val="right" w:pos="8306"/>
      </w:tabs>
      <w:snapToGrid w:val="0"/>
      <w:spacing w:line="240" w:lineRule="auto"/>
    </w:pPr>
    <w:rPr>
      <w:sz w:val="18"/>
      <w:szCs w:val="18"/>
    </w:rPr>
  </w:style>
  <w:style w:type="paragraph" w:styleId="9">
    <w:name w:val="header"/>
    <w:basedOn w:val="1"/>
    <w:link w:val="17"/>
    <w:unhideWhenUsed/>
    <w:qFormat/>
    <w:uiPriority w:val="99"/>
    <w:pPr>
      <w:tabs>
        <w:tab w:val="center" w:pos="4680"/>
        <w:tab w:val="right" w:pos="9360"/>
      </w:tabs>
    </w:pPr>
  </w:style>
  <w:style w:type="paragraph" w:styleId="10">
    <w:name w:val="Subtitle"/>
    <w:basedOn w:val="1"/>
    <w:next w:val="1"/>
    <w:link w:val="22"/>
    <w:qFormat/>
    <w:uiPriority w:val="11"/>
    <w:pPr>
      <w:ind w:left="86"/>
    </w:pPr>
    <w:rPr>
      <w:rFonts w:asciiTheme="majorHAnsi" w:hAnsiTheme="majorHAnsi" w:eastAsiaTheme="majorEastAsia" w:cstheme="majorBidi"/>
      <w:i/>
      <w:iCs/>
      <w:color w:val="4472C4" w:themeColor="accent1"/>
      <w:spacing w:val="15"/>
      <w:sz w:val="24"/>
      <w:szCs w:val="24"/>
    </w:rPr>
  </w:style>
  <w:style w:type="paragraph" w:styleId="11">
    <w:name w:val="Title"/>
    <w:basedOn w:val="1"/>
    <w:next w:val="1"/>
    <w:link w:val="23"/>
    <w:qFormat/>
    <w:uiPriority w:val="10"/>
    <w:pPr>
      <w:pBdr>
        <w:bottom w:val="single" w:color="4472C4" w:themeColor="accent1" w:sz="8" w:space="4"/>
      </w:pBdr>
      <w:spacing w:after="300"/>
      <w:contextualSpacing/>
    </w:pPr>
    <w:rPr>
      <w:rFonts w:asciiTheme="majorHAnsi" w:hAnsiTheme="majorHAnsi" w:eastAsiaTheme="majorEastAsia" w:cstheme="majorBidi"/>
      <w:color w:val="323E4F" w:themeColor="text2" w:themeShade="BF"/>
      <w:spacing w:val="5"/>
      <w:kern w:val="28"/>
      <w:sz w:val="52"/>
      <w:szCs w:val="52"/>
    </w:rPr>
  </w:style>
  <w:style w:type="table" w:styleId="13">
    <w:name w:val="Table Grid"/>
    <w:basedOn w:val="12"/>
    <w:qFormat/>
    <w:uiPriority w:val="5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character" w:styleId="15">
    <w:name w:val="Emphasis"/>
    <w:basedOn w:val="14"/>
    <w:qFormat/>
    <w:uiPriority w:val="20"/>
    <w:rPr>
      <w:i/>
      <w:iCs/>
    </w:rPr>
  </w:style>
  <w:style w:type="character" w:styleId="16">
    <w:name w:val="Hyperlink"/>
    <w:basedOn w:val="14"/>
    <w:unhideWhenUsed/>
    <w:qFormat/>
    <w:uiPriority w:val="99"/>
    <w:rPr>
      <w:color w:val="0563C1" w:themeColor="hyperlink"/>
      <w:u w:val="single"/>
    </w:rPr>
  </w:style>
  <w:style w:type="character" w:customStyle="1" w:styleId="17">
    <w:name w:val="页眉 字符"/>
    <w:basedOn w:val="14"/>
    <w:link w:val="9"/>
    <w:qFormat/>
    <w:uiPriority w:val="99"/>
  </w:style>
  <w:style w:type="character" w:customStyle="1" w:styleId="18">
    <w:name w:val="标题 1 字符"/>
    <w:basedOn w:val="14"/>
    <w:link w:val="2"/>
    <w:qFormat/>
    <w:uiPriority w:val="9"/>
    <w:rPr>
      <w:rFonts w:asciiTheme="majorHAnsi" w:hAnsiTheme="majorHAnsi" w:eastAsiaTheme="majorEastAsia" w:cstheme="majorBidi"/>
      <w:b/>
      <w:bCs/>
      <w:color w:val="2F5496" w:themeColor="accent1" w:themeShade="BF"/>
      <w:sz w:val="28"/>
      <w:szCs w:val="28"/>
    </w:rPr>
  </w:style>
  <w:style w:type="character" w:customStyle="1" w:styleId="19">
    <w:name w:val="标题 2 字符"/>
    <w:basedOn w:val="14"/>
    <w:link w:val="3"/>
    <w:qFormat/>
    <w:uiPriority w:val="9"/>
    <w:rPr>
      <w:rFonts w:asciiTheme="majorHAnsi" w:hAnsiTheme="majorHAnsi" w:eastAsiaTheme="majorEastAsia" w:cstheme="majorBidi"/>
      <w:b/>
      <w:bCs/>
      <w:color w:val="4472C4" w:themeColor="accent1"/>
      <w:sz w:val="26"/>
      <w:szCs w:val="26"/>
    </w:rPr>
  </w:style>
  <w:style w:type="character" w:customStyle="1" w:styleId="20">
    <w:name w:val="标题 3 字符"/>
    <w:basedOn w:val="14"/>
    <w:link w:val="4"/>
    <w:qFormat/>
    <w:uiPriority w:val="9"/>
    <w:rPr>
      <w:rFonts w:asciiTheme="majorHAnsi" w:hAnsiTheme="majorHAnsi" w:eastAsiaTheme="majorEastAsia" w:cstheme="majorBidi"/>
      <w:b/>
      <w:bCs/>
      <w:color w:val="4472C4" w:themeColor="accent1"/>
    </w:rPr>
  </w:style>
  <w:style w:type="character" w:customStyle="1" w:styleId="21">
    <w:name w:val="标题 4 字符"/>
    <w:basedOn w:val="14"/>
    <w:link w:val="5"/>
    <w:qFormat/>
    <w:uiPriority w:val="9"/>
    <w:rPr>
      <w:rFonts w:asciiTheme="majorHAnsi" w:hAnsiTheme="majorHAnsi" w:eastAsiaTheme="majorEastAsia" w:cstheme="majorBidi"/>
      <w:b/>
      <w:bCs/>
      <w:i/>
      <w:iCs/>
      <w:color w:val="4472C4" w:themeColor="accent1"/>
    </w:rPr>
  </w:style>
  <w:style w:type="character" w:customStyle="1" w:styleId="22">
    <w:name w:val="副标题 字符"/>
    <w:basedOn w:val="14"/>
    <w:link w:val="10"/>
    <w:qFormat/>
    <w:uiPriority w:val="11"/>
    <w:rPr>
      <w:rFonts w:asciiTheme="majorHAnsi" w:hAnsiTheme="majorHAnsi" w:eastAsiaTheme="majorEastAsia" w:cstheme="majorBidi"/>
      <w:i/>
      <w:iCs/>
      <w:color w:val="4472C4" w:themeColor="accent1"/>
      <w:spacing w:val="15"/>
      <w:sz w:val="24"/>
      <w:szCs w:val="24"/>
    </w:rPr>
  </w:style>
  <w:style w:type="character" w:customStyle="1" w:styleId="23">
    <w:name w:val="标题 字符"/>
    <w:basedOn w:val="14"/>
    <w:link w:val="11"/>
    <w:qFormat/>
    <w:uiPriority w:val="10"/>
    <w:rPr>
      <w:rFonts w:asciiTheme="majorHAnsi" w:hAnsiTheme="majorHAnsi" w:eastAsiaTheme="majorEastAsia" w:cstheme="majorBidi"/>
      <w:color w:val="323E4F" w:themeColor="text2" w:themeShade="BF"/>
      <w:spacing w:val="5"/>
      <w:kern w:val="28"/>
      <w:sz w:val="52"/>
      <w:szCs w:val="52"/>
    </w:rPr>
  </w:style>
  <w:style w:type="character" w:customStyle="1" w:styleId="24">
    <w:name w:val="页脚 字符"/>
    <w:basedOn w:val="14"/>
    <w:link w:val="8"/>
    <w:qFormat/>
    <w:uiPriority w:val="99"/>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16</Pages>
  <Words>7015</Words>
  <Characters>7707</Characters>
  <Lines>260</Lines>
  <Paragraphs>228</Paragraphs>
  <TotalTime>8</TotalTime>
  <ScaleCrop>false</ScaleCrop>
  <LinksUpToDate>false</LinksUpToDate>
  <CharactersWithSpaces>7716</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2025-09-03T07:09:00Z</dcterms:created>
  <dc:creator>ldan</dc:creator>
  <cp:lastModifiedBy>王佳蕊</cp:lastModifiedBy>
  <dcterms:modified xsi:type="dcterms:W3CDTF">2025-12-16T03:17:01Z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28CE79F117E34113BB239505D35930DF_12</vt:lpwstr>
  </property>
  <property fmtid="{D5CDD505-2E9C-101B-9397-08002B2CF9AE}" pid="4" name="KSOTemplateDocerSaveRecord">
    <vt:lpwstr>eyJoZGlkIjoiODUwZjdmZmIxNjBiNjcxZDlmZTA0MDdlNTg0ODY4ZWUiLCJ1c2VySWQiOiI0NzU2MDY3NjEifQ==</vt:lpwstr>
  </property>
</Properties>
</file>