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auto"/>
        <w:jc w:val="center"/>
        <w:rPr>
          <w:rFonts w:hint="default" w:ascii="Times New Roman" w:hAnsi="Times New Roman" w:cs="Times New Roman"/>
          <w:b/>
          <w:sz w:val="32"/>
        </w:rPr>
      </w:pPr>
      <w:r>
        <w:rPr>
          <w:rFonts w:hint="default" w:ascii="Times New Roman" w:hAnsi="Times New Roman" w:cs="Times New Roman"/>
          <w:b/>
          <w:sz w:val="32"/>
        </w:rPr>
        <w:t>《建设项目环境影响报告表》编制说明</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《建设项目环境影响报告表》由具有从事环境影响评价工作资质的单位编制。</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1、项目名称——指项目立项批复时的名称，应不超过30个字（两个英文字段作一个汉字）。</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2、建设地点——指项目所在地详细地址，公路、铁路应填写起止地点。</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3、行业类别——按国标填写。</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4、总投资——指项目投资总额。</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5、主要环境保护目标——指项目周围一定范围内集中居民住宅区、学校、医院、保护文物、风景名胜区、水源地和生态敏感点等，应尽可能给出保护目标、性质、规模和距厂界距离等。</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6、结论与建议——给出本项目清洁生产、达标排放和总量控制的分析结论，确定污染防治措施的有效性，说明本项目对环境造成的影响，给出建设项目环境可行性的明确结论。同时提出减少环境影响的其它建议。</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7、预审意见——由行业主管部门填写答复意见，无主管部门项目，可不填。</w:t>
      </w:r>
    </w:p>
    <w:p>
      <w:pPr>
        <w:spacing w:line="420" w:lineRule="auto"/>
        <w:ind w:firstLine="560" w:firstLineChars="200"/>
        <w:rPr>
          <w:rFonts w:hint="default" w:ascii="Times New Roman" w:hAnsi="Times New Roman" w:cs="Times New Roman"/>
          <w:sz w:val="28"/>
        </w:rPr>
      </w:pPr>
      <w:r>
        <w:rPr>
          <w:rFonts w:hint="default" w:ascii="Times New Roman" w:hAnsi="Times New Roman" w:cs="Times New Roman"/>
          <w:sz w:val="28"/>
        </w:rPr>
        <w:t>8、审批意见——由负责审批该项目的环境保护行政主管部门批复。</w:t>
      </w:r>
    </w:p>
    <w:p>
      <w:pPr>
        <w:rPr>
          <w:rFonts w:hint="default" w:ascii="Times New Roman" w:hAnsi="Times New Roman" w:cs="Times New Roman"/>
        </w:rPr>
      </w:pPr>
    </w:p>
    <w:p>
      <w:pPr>
        <w:rPr>
          <w:rFonts w:hint="default" w:ascii="Times New Roman" w:hAnsi="Times New Roman" w:cs="Times New Roman"/>
        </w:rPr>
      </w:pPr>
    </w:p>
    <w:p>
      <w:pPr>
        <w:spacing w:line="240" w:lineRule="auto"/>
        <w:rPr>
          <w:rFonts w:hint="default" w:ascii="Times New Roman" w:hAnsi="Times New Roman" w:cs="Times New Roman"/>
          <w:b/>
          <w:sz w:val="32"/>
        </w:rPr>
        <w:sectPr>
          <w:footerReference r:id="rId3" w:type="default"/>
          <w:pgSz w:w="12240" w:h="15840"/>
          <w:pgMar w:top="1440" w:right="1800" w:bottom="1440" w:left="1800" w:header="708" w:footer="708" w:gutter="0"/>
          <w:cols w:space="708" w:num="1"/>
          <w:docGrid w:linePitch="360" w:charSpace="0"/>
        </w:sectPr>
      </w:pPr>
    </w:p>
    <w:p>
      <w:pPr>
        <w:spacing w:line="240" w:lineRule="auto"/>
        <w:rPr>
          <w:rFonts w:hint="default" w:ascii="Times New Roman" w:hAnsi="Times New Roman" w:cs="Times New Roman"/>
          <w:b/>
          <w:sz w:val="32"/>
        </w:rPr>
      </w:pPr>
      <w:r>
        <w:rPr>
          <w:rFonts w:hint="default" w:ascii="Times New Roman" w:hAnsi="Times New Roman" w:cs="Times New Roman"/>
          <w:b/>
          <w:sz w:val="32"/>
        </w:rPr>
        <w:t>建设项目基本情况</w:t>
      </w:r>
    </w:p>
    <w:tbl>
      <w:tblPr>
        <w:tblStyle w:val="14"/>
        <w:tblW w:w="56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966"/>
        <w:gridCol w:w="1272"/>
        <w:gridCol w:w="352"/>
        <w:gridCol w:w="861"/>
        <w:gridCol w:w="1487"/>
        <w:gridCol w:w="1546"/>
        <w:gridCol w:w="15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项目名称</w:t>
            </w:r>
          </w:p>
        </w:tc>
        <w:tc>
          <w:tcPr>
            <w:tcW w:w="3526" w:type="pct"/>
            <w:gridSpan w:val="6"/>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昌吉市新方金食品包装有限公司HDPE塑料制品项目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建设单位</w:t>
            </w:r>
          </w:p>
        </w:tc>
        <w:tc>
          <w:tcPr>
            <w:tcW w:w="3526" w:type="pct"/>
            <w:gridSpan w:val="6"/>
            <w:vAlign w:val="center"/>
          </w:tcPr>
          <w:p>
            <w:pPr>
              <w:pStyle w:val="23"/>
              <w:rPr>
                <w:rFonts w:hint="default" w:ascii="Times New Roman" w:hAnsi="Times New Roman" w:cs="Times New Roman"/>
                <w:sz w:val="24"/>
                <w:szCs w:val="24"/>
                <w:highlight w:val="red"/>
              </w:rPr>
            </w:pPr>
            <w:r>
              <w:rPr>
                <w:rFonts w:hint="default" w:ascii="Times New Roman" w:hAnsi="Times New Roman" w:cs="Times New Roman"/>
                <w:sz w:val="24"/>
                <w:szCs w:val="24"/>
              </w:rPr>
              <w:t>昌吉市新方金食品包装有限公司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法人代表</w:t>
            </w:r>
          </w:p>
        </w:tc>
        <w:tc>
          <w:tcPr>
            <w:tcW w:w="1234" w:type="pct"/>
            <w:gridSpan w:val="3"/>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祝靖峰</w:t>
            </w:r>
          </w:p>
        </w:tc>
        <w:tc>
          <w:tcPr>
            <w:tcW w:w="739"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联系人</w:t>
            </w:r>
          </w:p>
        </w:tc>
        <w:tc>
          <w:tcPr>
            <w:tcW w:w="1553" w:type="pct"/>
            <w:gridSpan w:val="2"/>
            <w:vAlign w:val="center"/>
          </w:tcPr>
          <w:p>
            <w:pPr>
              <w:pStyle w:val="23"/>
              <w:rPr>
                <w:rFonts w:hint="default" w:ascii="Times New Roman" w:hAnsi="Times New Roman" w:cs="Times New Roman"/>
                <w:sz w:val="24"/>
                <w:szCs w:val="24"/>
                <w:highlight w:val="red"/>
              </w:rPr>
            </w:pPr>
            <w:r>
              <w:rPr>
                <w:rFonts w:hint="default" w:ascii="Times New Roman" w:hAnsi="Times New Roman" w:cs="Times New Roman"/>
                <w:sz w:val="24"/>
                <w:szCs w:val="24"/>
              </w:rPr>
              <w:t>卢总</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通讯地址</w:t>
            </w:r>
          </w:p>
        </w:tc>
        <w:tc>
          <w:tcPr>
            <w:tcW w:w="3526" w:type="pct"/>
            <w:gridSpan w:val="6"/>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新疆昌吉回族自治州昌吉市大西渠镇闽昌工业园区幸福大道</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联系电话</w:t>
            </w:r>
          </w:p>
        </w:tc>
        <w:tc>
          <w:tcPr>
            <w:tcW w:w="807" w:type="pct"/>
            <w:gridSpan w:val="2"/>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13579993705</w:t>
            </w:r>
          </w:p>
        </w:tc>
        <w:tc>
          <w:tcPr>
            <w:tcW w:w="428"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传真</w:t>
            </w:r>
          </w:p>
        </w:tc>
        <w:tc>
          <w:tcPr>
            <w:tcW w:w="739"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w:t>
            </w:r>
          </w:p>
        </w:tc>
        <w:tc>
          <w:tcPr>
            <w:tcW w:w="768"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邮政编码</w:t>
            </w:r>
          </w:p>
        </w:tc>
        <w:tc>
          <w:tcPr>
            <w:tcW w:w="785"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831100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建设地点</w:t>
            </w:r>
          </w:p>
        </w:tc>
        <w:tc>
          <w:tcPr>
            <w:tcW w:w="3526" w:type="pct"/>
            <w:gridSpan w:val="6"/>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新疆昌吉回族自治州昌吉市大西渠镇闽昌工业园区幸福大道</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立项审批部门</w:t>
            </w:r>
          </w:p>
        </w:tc>
        <w:tc>
          <w:tcPr>
            <w:tcW w:w="1234" w:type="pct"/>
            <w:gridSpan w:val="3"/>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w:t>
            </w:r>
          </w:p>
        </w:tc>
        <w:tc>
          <w:tcPr>
            <w:tcW w:w="739"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批准文号</w:t>
            </w:r>
          </w:p>
        </w:tc>
        <w:tc>
          <w:tcPr>
            <w:tcW w:w="1553" w:type="pct"/>
            <w:gridSpan w:val="2"/>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建设性质</w:t>
            </w:r>
          </w:p>
        </w:tc>
        <w:tc>
          <w:tcPr>
            <w:tcW w:w="1234" w:type="pct"/>
            <w:gridSpan w:val="3"/>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新建</w:t>
            </w:r>
          </w:p>
        </w:tc>
        <w:tc>
          <w:tcPr>
            <w:tcW w:w="739"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行业类别</w:t>
            </w:r>
          </w:p>
          <w:p>
            <w:pPr>
              <w:pStyle w:val="23"/>
              <w:rPr>
                <w:rFonts w:hint="default" w:ascii="Times New Roman" w:hAnsi="Times New Roman" w:cs="Times New Roman"/>
                <w:sz w:val="24"/>
                <w:szCs w:val="24"/>
              </w:rPr>
            </w:pPr>
            <w:r>
              <w:rPr>
                <w:rFonts w:hint="default" w:ascii="Times New Roman" w:hAnsi="Times New Roman" w:cs="Times New Roman"/>
                <w:sz w:val="24"/>
                <w:szCs w:val="24"/>
              </w:rPr>
              <w:t>及代码</w:t>
            </w:r>
          </w:p>
        </w:tc>
        <w:tc>
          <w:tcPr>
            <w:tcW w:w="1553" w:type="pct"/>
            <w:gridSpan w:val="2"/>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橡胶和塑料制品业</w:t>
            </w:r>
          </w:p>
          <w:p>
            <w:pPr>
              <w:pStyle w:val="23"/>
              <w:rPr>
                <w:rFonts w:hint="default" w:ascii="Times New Roman" w:hAnsi="Times New Roman" w:cs="Times New Roman"/>
                <w:sz w:val="24"/>
                <w:szCs w:val="24"/>
              </w:rPr>
            </w:pPr>
            <w:r>
              <w:rPr>
                <w:rFonts w:hint="default" w:ascii="Times New Roman" w:hAnsi="Times New Roman" w:cs="Times New Roman"/>
                <w:sz w:val="24"/>
                <w:szCs w:val="24"/>
              </w:rPr>
              <w:t>C2926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工程占地面积</w:t>
            </w:r>
          </w:p>
          <w:p>
            <w:pPr>
              <w:pStyle w:val="23"/>
              <w:rPr>
                <w:rFonts w:hint="default" w:ascii="Times New Roman" w:hAnsi="Times New Roman" w:cs="Times New Roman"/>
                <w:sz w:val="24"/>
                <w:szCs w:val="24"/>
              </w:rPr>
            </w:pPr>
            <w:r>
              <w:rPr>
                <w:rFonts w:hint="default" w:ascii="Times New Roman" w:hAnsi="Times New Roman" w:cs="Times New Roman"/>
                <w:sz w:val="24"/>
                <w:szCs w:val="24"/>
              </w:rPr>
              <w:t>（㎡）</w:t>
            </w:r>
          </w:p>
        </w:tc>
        <w:tc>
          <w:tcPr>
            <w:tcW w:w="1234" w:type="pct"/>
            <w:gridSpan w:val="3"/>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3500</w:t>
            </w:r>
          </w:p>
        </w:tc>
        <w:tc>
          <w:tcPr>
            <w:tcW w:w="739"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绿化面积</w:t>
            </w:r>
          </w:p>
          <w:p>
            <w:pPr>
              <w:pStyle w:val="23"/>
              <w:rPr>
                <w:rFonts w:hint="default" w:ascii="Times New Roman" w:hAnsi="Times New Roman" w:cs="Times New Roman"/>
                <w:sz w:val="24"/>
                <w:szCs w:val="24"/>
              </w:rPr>
            </w:pPr>
            <w:r>
              <w:rPr>
                <w:rFonts w:hint="default" w:ascii="Times New Roman" w:hAnsi="Times New Roman" w:cs="Times New Roman"/>
                <w:sz w:val="24"/>
                <w:szCs w:val="24"/>
              </w:rPr>
              <w:t>（m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rPr>
              <w:t>）</w:t>
            </w:r>
          </w:p>
        </w:tc>
        <w:tc>
          <w:tcPr>
            <w:tcW w:w="1553" w:type="pct"/>
            <w:gridSpan w:val="2"/>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175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5"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总投资</w:t>
            </w:r>
          </w:p>
          <w:p>
            <w:pPr>
              <w:pStyle w:val="23"/>
              <w:rPr>
                <w:rFonts w:hint="default" w:ascii="Times New Roman" w:hAnsi="Times New Roman" w:cs="Times New Roman"/>
                <w:sz w:val="24"/>
                <w:szCs w:val="24"/>
              </w:rPr>
            </w:pPr>
            <w:r>
              <w:rPr>
                <w:rFonts w:hint="default" w:ascii="Times New Roman" w:hAnsi="Times New Roman" w:cs="Times New Roman"/>
                <w:sz w:val="24"/>
                <w:szCs w:val="24"/>
              </w:rPr>
              <w:t>（万元）</w:t>
            </w:r>
          </w:p>
        </w:tc>
        <w:tc>
          <w:tcPr>
            <w:tcW w:w="632"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60</w:t>
            </w:r>
          </w:p>
        </w:tc>
        <w:tc>
          <w:tcPr>
            <w:tcW w:w="603" w:type="pct"/>
            <w:gridSpan w:val="2"/>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环保投资（万元）</w:t>
            </w:r>
          </w:p>
        </w:tc>
        <w:tc>
          <w:tcPr>
            <w:tcW w:w="739" w:type="pct"/>
            <w:vAlign w:val="center"/>
          </w:tcPr>
          <w:p>
            <w:pPr>
              <w:pStyle w:val="23"/>
              <w:rPr>
                <w:rFonts w:hint="default" w:ascii="Times New Roman" w:hAnsi="Times New Roman" w:cs="Times New Roman"/>
                <w:sz w:val="24"/>
                <w:szCs w:val="24"/>
              </w:rPr>
            </w:pPr>
            <w:r>
              <w:rPr>
                <w:rFonts w:hint="default" w:ascii="Times New Roman" w:hAnsi="Times New Roman" w:cs="Times New Roman"/>
                <w:color w:val="000000" w:themeColor="text1"/>
                <w:sz w:val="24"/>
                <w:szCs w:val="24"/>
                <w14:textFill>
                  <w14:solidFill>
                    <w14:schemeClr w14:val="tx1"/>
                  </w14:solidFill>
                </w14:textFill>
              </w:rPr>
              <w:t>5</w:t>
            </w:r>
          </w:p>
        </w:tc>
        <w:tc>
          <w:tcPr>
            <w:tcW w:w="768" w:type="pct"/>
            <w:vAlign w:val="center"/>
          </w:tcPr>
          <w:p>
            <w:pPr>
              <w:pStyle w:val="23"/>
              <w:rPr>
                <w:rFonts w:hint="default" w:ascii="Times New Roman" w:hAnsi="Times New Roman" w:cs="Times New Roman"/>
                <w:sz w:val="24"/>
                <w:szCs w:val="24"/>
                <w:highlight w:val="red"/>
              </w:rPr>
            </w:pPr>
            <w:r>
              <w:rPr>
                <w:rFonts w:hint="default" w:ascii="Times New Roman" w:hAnsi="Times New Roman" w:cs="Times New Roman"/>
                <w:sz w:val="24"/>
                <w:szCs w:val="24"/>
              </w:rPr>
              <w:t>环保投资比例（%）</w:t>
            </w:r>
          </w:p>
        </w:tc>
        <w:tc>
          <w:tcPr>
            <w:tcW w:w="785"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8.33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74"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评价经费</w:t>
            </w:r>
          </w:p>
          <w:p>
            <w:pPr>
              <w:pStyle w:val="23"/>
              <w:rPr>
                <w:rFonts w:hint="default" w:ascii="Times New Roman" w:hAnsi="Times New Roman" w:cs="Times New Roman"/>
                <w:sz w:val="24"/>
                <w:szCs w:val="24"/>
              </w:rPr>
            </w:pPr>
            <w:r>
              <w:rPr>
                <w:rFonts w:hint="default" w:ascii="Times New Roman" w:hAnsi="Times New Roman" w:cs="Times New Roman"/>
                <w:sz w:val="24"/>
                <w:szCs w:val="24"/>
              </w:rPr>
              <w:t>（万元）</w:t>
            </w:r>
          </w:p>
        </w:tc>
        <w:tc>
          <w:tcPr>
            <w:tcW w:w="632" w:type="pct"/>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w:t>
            </w:r>
          </w:p>
        </w:tc>
        <w:tc>
          <w:tcPr>
            <w:tcW w:w="1341" w:type="pct"/>
            <w:gridSpan w:val="3"/>
            <w:vAlign w:val="center"/>
          </w:tcPr>
          <w:p>
            <w:pPr>
              <w:pStyle w:val="23"/>
              <w:rPr>
                <w:rFonts w:hint="default" w:ascii="Times New Roman" w:hAnsi="Times New Roman" w:cs="Times New Roman"/>
                <w:sz w:val="24"/>
                <w:szCs w:val="24"/>
              </w:rPr>
            </w:pPr>
            <w:r>
              <w:rPr>
                <w:rFonts w:hint="default" w:ascii="Times New Roman" w:hAnsi="Times New Roman" w:cs="Times New Roman"/>
                <w:sz w:val="24"/>
                <w:szCs w:val="24"/>
              </w:rPr>
              <w:t>预期投产日期</w:t>
            </w:r>
          </w:p>
        </w:tc>
        <w:tc>
          <w:tcPr>
            <w:tcW w:w="1553" w:type="pct"/>
            <w:gridSpan w:val="2"/>
            <w:vAlign w:val="center"/>
          </w:tcPr>
          <w:p>
            <w:pPr>
              <w:pStyle w:val="23"/>
              <w:rPr>
                <w:rFonts w:hint="default" w:ascii="Times New Roman" w:hAnsi="Times New Roman" w:cs="Times New Roman"/>
                <w:sz w:val="24"/>
                <w:szCs w:val="24"/>
                <w:highlight w:val="red"/>
              </w:rPr>
            </w:pPr>
            <w:r>
              <w:rPr>
                <w:rFonts w:hint="default" w:ascii="Times New Roman" w:hAnsi="Times New Roman" w:cs="Times New Roman"/>
                <w:sz w:val="24"/>
                <w:szCs w:val="24"/>
              </w:rPr>
              <w:t>20</w:t>
            </w:r>
            <w:r>
              <w:rPr>
                <w:rFonts w:hint="eastAsia" w:cs="Times New Roman"/>
                <w:sz w:val="24"/>
                <w:szCs w:val="24"/>
                <w:lang w:val="en-US" w:eastAsia="zh-CN"/>
              </w:rPr>
              <w:t>20</w:t>
            </w:r>
            <w:r>
              <w:rPr>
                <w:rFonts w:hint="default" w:ascii="Times New Roman" w:hAnsi="Times New Roman" w:cs="Times New Roman"/>
                <w:sz w:val="24"/>
                <w:szCs w:val="24"/>
              </w:rPr>
              <w:t>年</w:t>
            </w:r>
            <w:r>
              <w:rPr>
                <w:rFonts w:hint="eastAsia" w:cs="Times New Roman"/>
                <w:sz w:val="24"/>
                <w:szCs w:val="24"/>
                <w:lang w:val="en-US" w:eastAsia="zh-CN"/>
              </w:rPr>
              <w:t>6</w:t>
            </w:r>
            <w:r>
              <w:rPr>
                <w:rFonts w:hint="default" w:ascii="Times New Roman" w:hAnsi="Times New Roman" w:cs="Times New Roman"/>
                <w:sz w:val="24"/>
                <w:szCs w:val="24"/>
              </w:rPr>
              <w:t>月</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5000" w:type="pct"/>
            <w:gridSpan w:val="7"/>
          </w:tcPr>
          <w:p>
            <w:pPr>
              <w:rPr>
                <w:rFonts w:hint="default" w:ascii="Times New Roman" w:hAnsi="Times New Roman" w:cs="Times New Roman"/>
                <w:b/>
              </w:rPr>
            </w:pPr>
            <w:r>
              <w:rPr>
                <w:rFonts w:hint="default" w:ascii="Times New Roman" w:hAnsi="Times New Roman" w:cs="Times New Roman"/>
                <w:b/>
              </w:rPr>
              <w:t>工程内容及规模：</w:t>
            </w:r>
          </w:p>
          <w:p>
            <w:pPr>
              <w:ind w:firstLine="482" w:firstLineChars="200"/>
              <w:rPr>
                <w:rFonts w:hint="default" w:ascii="Times New Roman" w:hAnsi="Times New Roman" w:cs="Times New Roman"/>
                <w:b/>
              </w:rPr>
            </w:pPr>
            <w:r>
              <w:rPr>
                <w:rFonts w:hint="default" w:ascii="Times New Roman" w:hAnsi="Times New Roman" w:cs="Times New Roman"/>
                <w:b/>
              </w:rPr>
              <w:t>1.项目背景</w:t>
            </w:r>
          </w:p>
          <w:p>
            <w:pPr>
              <w:pStyle w:val="44"/>
              <w:ind w:firstLine="476"/>
              <w:rPr>
                <w:rFonts w:hint="default" w:ascii="Times New Roman" w:hAnsi="Times New Roman" w:cs="Times New Roman"/>
              </w:rPr>
            </w:pPr>
            <w:r>
              <w:rPr>
                <w:rFonts w:hint="default" w:ascii="Times New Roman" w:hAnsi="Times New Roman" w:cs="Times New Roman"/>
                <w:szCs w:val="24"/>
              </w:rPr>
              <w:t>随着经济的不断发展，人们的生活水平质量不断提高，市场中各行业的需求不断增长，食品调料（酱油、醋等）在增产的同时，出现了容器供应不足的情况。为了满足市场需要，提高市场经济活力，推进产业成熟化发展，带动当地经济发展，昌吉市新方金食品包装有限公司特提出昌吉市新方金食品包装有限公司HDPE塑料制品项目，年产塑料瓶</w:t>
            </w:r>
            <w:r>
              <w:rPr>
                <w:rFonts w:hint="default" w:ascii="Times New Roman" w:hAnsi="Times New Roman" w:cs="Times New Roman"/>
              </w:rPr>
              <w:t>360万个、塑料盖1800万个填补市场需求空缺。</w:t>
            </w:r>
          </w:p>
          <w:p>
            <w:pPr>
              <w:ind w:firstLine="480" w:firstLineChars="200"/>
              <w:rPr>
                <w:rFonts w:hint="default" w:ascii="Times New Roman" w:hAnsi="Times New Roman" w:cs="Times New Roman"/>
              </w:rPr>
            </w:pPr>
            <w:r>
              <w:rPr>
                <w:rFonts w:hint="default" w:ascii="Times New Roman" w:hAnsi="Times New Roman" w:cs="Times New Roman"/>
              </w:rPr>
              <w:t>根据《中华人民共和国环境保护法》、《中华人民共和国环境影响评价法》、《建设项目环境保护管理条例》（国令第682号）中相关规定，本项目应进行环境影响评价。根据《建设项目环境影响评价分类管理名录》（中华人民共和国环境保护部第44号令）及《关于修改&lt;建设项目环境影响评价分类管理名录&gt;部分内容的决定》（中华人民共和国生态环境部令第1号）规定，本项目属于</w:t>
            </w:r>
            <w:r>
              <w:rPr>
                <w:rFonts w:hint="eastAsia" w:cs="Times New Roman"/>
                <w:lang w:val="en-US" w:eastAsia="zh-CN"/>
              </w:rPr>
              <w:t xml:space="preserve"> </w:t>
            </w:r>
            <w:r>
              <w:rPr>
                <w:rFonts w:hint="default" w:ascii="Times New Roman" w:hAnsi="Times New Roman" w:cs="Times New Roman"/>
              </w:rPr>
              <w:t>“十八、橡胶和塑料制品业</w:t>
            </w:r>
            <w:r>
              <w:rPr>
                <w:rFonts w:hint="default" w:ascii="Times New Roman" w:hAnsi="Times New Roman" w:cs="Times New Roman"/>
                <w:lang w:eastAsia="zh-CN"/>
              </w:rPr>
              <w:t>中</w:t>
            </w:r>
            <w:r>
              <w:rPr>
                <w:rFonts w:hint="default" w:ascii="Times New Roman" w:hAnsi="Times New Roman" w:cs="Times New Roman"/>
                <w:lang w:val="en-US" w:eastAsia="zh-CN"/>
              </w:rPr>
              <w:t>4</w:t>
            </w:r>
            <w:r>
              <w:rPr>
                <w:rFonts w:hint="default" w:ascii="Times New Roman" w:hAnsi="Times New Roman" w:cs="Times New Roman"/>
              </w:rPr>
              <w:t>7</w:t>
            </w:r>
            <w:r>
              <w:rPr>
                <w:rFonts w:hint="default" w:ascii="Times New Roman" w:hAnsi="Times New Roman" w:cs="Times New Roman"/>
                <w:lang w:val="en-US" w:eastAsia="zh-CN"/>
              </w:rPr>
              <w:t>.</w:t>
            </w:r>
            <w:r>
              <w:rPr>
                <w:rFonts w:hint="default" w:ascii="Times New Roman" w:hAnsi="Times New Roman" w:cs="Times New Roman"/>
              </w:rPr>
              <w:t>塑料制品制造</w:t>
            </w:r>
            <w:r>
              <w:rPr>
                <w:rFonts w:hint="default" w:ascii="Times New Roman" w:hAnsi="Times New Roman" w:cs="Times New Roman"/>
                <w:lang w:eastAsia="zh-CN"/>
              </w:rPr>
              <w:t>中“其他”</w:t>
            </w:r>
            <w:r>
              <w:rPr>
                <w:rFonts w:hint="default" w:ascii="Times New Roman" w:hAnsi="Times New Roman" w:cs="Times New Roman"/>
                <w:lang w:val="en-US" w:eastAsia="zh-CN"/>
              </w:rPr>
              <w:t xml:space="preserve"> </w:t>
            </w:r>
            <w:r>
              <w:rPr>
                <w:rFonts w:hint="default" w:ascii="Times New Roman" w:hAnsi="Times New Roman" w:cs="Times New Roman"/>
              </w:rPr>
              <w:t>”，需编制环境影响评价报告表。</w:t>
            </w:r>
          </w:p>
          <w:p>
            <w:pPr>
              <w:ind w:firstLine="480" w:firstLineChars="200"/>
              <w:rPr>
                <w:rFonts w:hint="default" w:ascii="Times New Roman" w:hAnsi="Times New Roman" w:cs="Times New Roman"/>
              </w:rPr>
            </w:pPr>
            <w:r>
              <w:rPr>
                <w:rFonts w:hint="default" w:ascii="Times New Roman" w:hAnsi="Times New Roman" w:cs="Times New Roman"/>
              </w:rPr>
              <w:t>我单位（江苏新清源环保有限公司）受昌吉市新方金食品包装有限公司委托（项目委托书见附件1），开展《昌吉市新方金食品包装有限公司HDPE塑料制品项目环境影响评价报告表》的编制工作。在对本项目进行环境影响评价的过程中，通过现场踏勘、查证资料、走访问询等工作，在充分掌握相关资料数据的基础上，对本项目周边环境以及本项目可能产生的环境影响进行分析，在此基础上按《环境影响评价技术导则》要求编制完成建设项目环境影响评价报告表。</w:t>
            </w:r>
          </w:p>
          <w:p>
            <w:pPr>
              <w:ind w:firstLine="482" w:firstLineChars="200"/>
              <w:rPr>
                <w:rFonts w:hint="default" w:ascii="Times New Roman" w:hAnsi="Times New Roman" w:cs="Times New Roman"/>
              </w:rPr>
            </w:pPr>
            <w:r>
              <w:rPr>
                <w:rFonts w:hint="default" w:ascii="Times New Roman" w:hAnsi="Times New Roman" w:cs="Times New Roman"/>
                <w:b/>
              </w:rPr>
              <w:t>2.项目概况</w:t>
            </w:r>
          </w:p>
          <w:p>
            <w:pPr>
              <w:ind w:firstLine="482" w:firstLineChars="200"/>
              <w:rPr>
                <w:rFonts w:hint="default" w:ascii="Times New Roman" w:hAnsi="Times New Roman" w:cs="Times New Roman"/>
                <w:b/>
              </w:rPr>
            </w:pPr>
            <w:r>
              <w:rPr>
                <w:rFonts w:hint="default" w:ascii="Times New Roman" w:hAnsi="Times New Roman" w:cs="Times New Roman"/>
                <w:b/>
              </w:rPr>
              <w:t>2.1项目名称</w:t>
            </w:r>
          </w:p>
          <w:p>
            <w:pPr>
              <w:pStyle w:val="2"/>
              <w:pBdr>
                <w:bottom w:val="none" w:color="auto" w:sz="0" w:space="0"/>
              </w:pBd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昌吉市新方金食品包装有限公司HDPE塑料制品项目。</w:t>
            </w:r>
          </w:p>
          <w:p>
            <w:pPr>
              <w:pStyle w:val="2"/>
              <w:pBdr>
                <w:bottom w:val="none" w:color="auto" w:sz="0" w:space="0"/>
              </w:pBdr>
              <w:spacing w:line="360" w:lineRule="auto"/>
              <w:ind w:firstLine="482" w:firstLineChars="200"/>
              <w:jc w:val="both"/>
              <w:rPr>
                <w:rFonts w:hint="default" w:ascii="Times New Roman" w:hAnsi="Times New Roman" w:cs="Times New Roman"/>
                <w:sz w:val="24"/>
                <w:szCs w:val="24"/>
              </w:rPr>
            </w:pPr>
            <w:r>
              <w:rPr>
                <w:rFonts w:hint="default" w:ascii="Times New Roman" w:hAnsi="Times New Roman" w:cs="Times New Roman"/>
                <w:b/>
                <w:sz w:val="24"/>
                <w:szCs w:val="20"/>
              </w:rPr>
              <w:t>2.2建设单位</w:t>
            </w:r>
          </w:p>
          <w:p>
            <w:pPr>
              <w:pStyle w:val="2"/>
              <w:pBdr>
                <w:bottom w:val="none" w:color="auto" w:sz="0" w:space="0"/>
              </w:pBdr>
              <w:spacing w:line="360" w:lineRule="auto"/>
              <w:ind w:firstLine="480" w:firstLineChars="200"/>
              <w:jc w:val="both"/>
              <w:rPr>
                <w:rFonts w:hint="default" w:ascii="Times New Roman" w:hAnsi="Times New Roman" w:cs="Times New Roman"/>
                <w:sz w:val="24"/>
                <w:szCs w:val="24"/>
              </w:rPr>
            </w:pPr>
            <w:r>
              <w:rPr>
                <w:rFonts w:hint="default" w:ascii="Times New Roman" w:hAnsi="Times New Roman" w:cs="Times New Roman"/>
                <w:sz w:val="24"/>
                <w:szCs w:val="24"/>
              </w:rPr>
              <w:t>昌吉市新方金食品包装有限公司。</w:t>
            </w:r>
          </w:p>
          <w:p>
            <w:pPr>
              <w:pStyle w:val="2"/>
              <w:pBdr>
                <w:bottom w:val="none" w:color="auto" w:sz="0" w:space="0"/>
              </w:pBdr>
              <w:spacing w:line="360" w:lineRule="auto"/>
              <w:ind w:firstLine="482" w:firstLineChars="200"/>
              <w:jc w:val="both"/>
              <w:rPr>
                <w:rFonts w:hint="default" w:ascii="Times New Roman" w:hAnsi="Times New Roman" w:cs="Times New Roman"/>
                <w:b/>
                <w:sz w:val="24"/>
                <w:szCs w:val="20"/>
              </w:rPr>
            </w:pPr>
            <w:r>
              <w:rPr>
                <w:rFonts w:hint="default" w:ascii="Times New Roman" w:hAnsi="Times New Roman" w:cs="Times New Roman"/>
                <w:b/>
                <w:sz w:val="24"/>
                <w:szCs w:val="20"/>
              </w:rPr>
              <w:t>2.3建设性质</w:t>
            </w:r>
          </w:p>
          <w:p>
            <w:pPr>
              <w:pStyle w:val="44"/>
              <w:ind w:firstLine="476"/>
              <w:rPr>
                <w:rFonts w:hint="default" w:ascii="Times New Roman" w:hAnsi="Times New Roman" w:cs="Times New Roman"/>
              </w:rPr>
            </w:pPr>
            <w:r>
              <w:rPr>
                <w:rFonts w:hint="default" w:ascii="Times New Roman" w:hAnsi="Times New Roman" w:cs="Times New Roman"/>
              </w:rPr>
              <w:t>新建。</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2.4建设地点</w:t>
            </w:r>
          </w:p>
          <w:p>
            <w:pPr>
              <w:pStyle w:val="44"/>
              <w:ind w:firstLine="476"/>
              <w:rPr>
                <w:rFonts w:hint="default" w:ascii="Times New Roman" w:hAnsi="Times New Roman" w:cs="Times New Roman"/>
              </w:rPr>
            </w:pPr>
            <w:r>
              <w:rPr>
                <w:rFonts w:hint="default" w:ascii="Times New Roman" w:hAnsi="Times New Roman" w:cs="Times New Roman"/>
              </w:rPr>
              <w:t>项目位于新疆昌吉回族自治州昌吉市大西渠镇闽昌工业园区幸福大道，坐标N44°1'51.53"</w:t>
            </w:r>
            <w:r>
              <w:rPr>
                <w:rFonts w:hint="eastAsia" w:cs="Times New Roman"/>
                <w:lang w:eastAsia="zh-CN"/>
              </w:rPr>
              <w:t>；</w:t>
            </w:r>
            <w:r>
              <w:rPr>
                <w:rFonts w:hint="default" w:ascii="Times New Roman" w:hAnsi="Times New Roman" w:cs="Times New Roman"/>
              </w:rPr>
              <w:t>E87°12'25.50"。</w:t>
            </w:r>
          </w:p>
          <w:p>
            <w:pPr>
              <w:pStyle w:val="44"/>
              <w:ind w:firstLine="476"/>
              <w:rPr>
                <w:rFonts w:hint="default" w:ascii="Times New Roman" w:hAnsi="Times New Roman" w:cs="Times New Roman"/>
              </w:rPr>
            </w:pPr>
            <w:r>
              <w:rPr>
                <w:rFonts w:hint="default" w:ascii="Times New Roman" w:hAnsi="Times New Roman" w:cs="Times New Roman"/>
              </w:rPr>
              <w:t>项目区地理位置图见附图1。</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2.5厂址周边情况</w:t>
            </w:r>
          </w:p>
          <w:p>
            <w:pPr>
              <w:pStyle w:val="44"/>
              <w:ind w:firstLine="476"/>
              <w:rPr>
                <w:rFonts w:hint="default" w:ascii="Times New Roman" w:hAnsi="Times New Roman" w:cs="Times New Roman"/>
              </w:rPr>
            </w:pPr>
            <w:r>
              <w:rPr>
                <w:rFonts w:hint="default" w:ascii="Times New Roman" w:hAnsi="Times New Roman" w:cs="Times New Roman"/>
              </w:rPr>
              <w:t>祥顺修理厂位于厂区东侧，与厂区隔路相望；厂址北侧为未开发工业工地；昌吉市洁润塑业制品有限公司位于厂区西侧，紧邻厂区；本项目南侧为昌吉市协力塑业有限公司，西南侧为昌吉市仁昌商贸有限公司和昌吉市吉翔商贸有限公司。</w:t>
            </w:r>
          </w:p>
          <w:p>
            <w:pPr>
              <w:pStyle w:val="44"/>
              <w:ind w:firstLine="476"/>
              <w:rPr>
                <w:rFonts w:hint="default" w:ascii="Times New Roman" w:hAnsi="Times New Roman" w:cs="Times New Roman"/>
              </w:rPr>
            </w:pPr>
            <w:r>
              <w:rPr>
                <w:rFonts w:hint="default" w:ascii="Times New Roman" w:hAnsi="Times New Roman" w:cs="Times New Roman"/>
              </w:rPr>
              <w:t>本项目周边情况图见附图2。</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2.6建设内容</w:t>
            </w:r>
          </w:p>
          <w:p>
            <w:pPr>
              <w:pStyle w:val="44"/>
              <w:ind w:firstLine="476"/>
              <w:rPr>
                <w:rFonts w:hint="default" w:ascii="Times New Roman" w:hAnsi="Times New Roman" w:cs="Times New Roman"/>
              </w:rPr>
            </w:pPr>
            <w:r>
              <w:rPr>
                <w:rFonts w:hint="default" w:ascii="Times New Roman" w:hAnsi="Times New Roman" w:cs="Times New Roman"/>
              </w:rPr>
              <w:t>本项目建设内容包括办公室、员工宿舍、消毒间、生产车间、仓库等，生产车间内安装塑料瓶、塑料盖生产线各一条。</w:t>
            </w:r>
          </w:p>
          <w:p>
            <w:pPr>
              <w:pStyle w:val="44"/>
              <w:ind w:firstLine="476"/>
              <w:rPr>
                <w:rFonts w:hint="default" w:ascii="Times New Roman" w:hAnsi="Times New Roman" w:cs="Times New Roman"/>
              </w:rPr>
            </w:pPr>
            <w:r>
              <w:rPr>
                <w:rFonts w:hint="default" w:ascii="Times New Roman" w:hAnsi="Times New Roman" w:cs="Times New Roman"/>
              </w:rPr>
              <w:t>本项目建设组成见表2.6-1，生产设备见表2.6-2。</w:t>
            </w:r>
          </w:p>
          <w:p>
            <w:pPr>
              <w:pStyle w:val="44"/>
              <w:spacing w:line="240" w:lineRule="auto"/>
              <w:ind w:firstLine="418"/>
              <w:jc w:val="center"/>
              <w:rPr>
                <w:rFonts w:hint="default" w:ascii="Times New Roman" w:hAnsi="Times New Roman" w:cs="Times New Roman"/>
              </w:rPr>
            </w:pPr>
            <w:r>
              <w:rPr>
                <w:rFonts w:hint="default" w:ascii="Times New Roman" w:hAnsi="Times New Roman" w:cs="Times New Roman"/>
                <w:b/>
                <w:sz w:val="21"/>
              </w:rPr>
              <w:t>表2.6-1    项目组成一览表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267"/>
              <w:gridCol w:w="1326"/>
              <w:gridCol w:w="628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序号</w:t>
                  </w:r>
                </w:p>
              </w:tc>
              <w:tc>
                <w:tcPr>
                  <w:tcW w:w="1267"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工程类别</w:t>
                  </w: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项目名称</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建设内容</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1</w:t>
                  </w:r>
                </w:p>
              </w:tc>
              <w:tc>
                <w:tcPr>
                  <w:tcW w:w="1267"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主体工程</w:t>
                  </w: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生产车间</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租用工业园区内闲置厂房一座，砖混结构。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267"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辅助工程</w:t>
                  </w: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员工宿舍</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将部分厂房改造为员工宿舍。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267"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消毒间</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租用厂房内新增一座消毒间。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267"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仓库</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将部分厂房改造为仓库。</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3</w:t>
                  </w:r>
                </w:p>
              </w:tc>
              <w:tc>
                <w:tcPr>
                  <w:tcW w:w="1267"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公用工程</w:t>
                  </w: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供热</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本项目采取电采暖。</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267"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供水</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项目用水由园区供水管网提供。</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267"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供电</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项目用电由园区供电系统提供。</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4</w:t>
                  </w:r>
                </w:p>
              </w:tc>
              <w:tc>
                <w:tcPr>
                  <w:tcW w:w="1267"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环保工程</w:t>
                  </w: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废气治理</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项目熔融吹塑工序产生的非甲烷总烃通过集气罩收集后，由光氧催化设备进行处理，随后通过15m高排气筒排放。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267"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废水治理</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生活废水通过园区污水管网送至当地污水处理厂处理。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267"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噪声治理</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选用低噪声设备、车间内合理布局、加强设备管理、建筑隔声等。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96"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267"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1326"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固废治理</w:t>
                  </w:r>
                </w:p>
              </w:tc>
              <w:tc>
                <w:tcPr>
                  <w:tcW w:w="6284"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边角料破碎后作为生产原料回用于生产；日常生活垃圾设置垃圾箱收集，定期交由当地环卫部门处理。</w:t>
                  </w:r>
                </w:p>
              </w:tc>
            </w:tr>
          </w:tbl>
          <w:p>
            <w:pPr>
              <w:pStyle w:val="44"/>
              <w:spacing w:line="240" w:lineRule="auto"/>
              <w:ind w:firstLine="418"/>
              <w:jc w:val="center"/>
              <w:rPr>
                <w:rFonts w:hint="default" w:ascii="Times New Roman" w:hAnsi="Times New Roman" w:cs="Times New Roman"/>
                <w:b/>
                <w:sz w:val="21"/>
              </w:rPr>
            </w:pPr>
          </w:p>
          <w:p>
            <w:pPr>
              <w:pStyle w:val="44"/>
              <w:spacing w:line="240" w:lineRule="auto"/>
              <w:ind w:firstLine="418"/>
              <w:jc w:val="center"/>
              <w:rPr>
                <w:rFonts w:hint="default" w:ascii="Times New Roman" w:hAnsi="Times New Roman" w:cs="Times New Roman"/>
              </w:rPr>
            </w:pPr>
            <w:r>
              <w:rPr>
                <w:rFonts w:hint="default" w:ascii="Times New Roman" w:hAnsi="Times New Roman" w:cs="Times New Roman"/>
                <w:b/>
                <w:sz w:val="21"/>
              </w:rPr>
              <w:t xml:space="preserve">表2.6-2   </w:t>
            </w:r>
            <w:r>
              <w:rPr>
                <w:rFonts w:hint="eastAsia" w:cs="Times New Roman"/>
                <w:b/>
                <w:sz w:val="21"/>
                <w:lang w:val="en-US" w:eastAsia="zh-CN"/>
              </w:rPr>
              <w:t xml:space="preserve"> </w:t>
            </w:r>
            <w:r>
              <w:rPr>
                <w:rFonts w:hint="default" w:ascii="Times New Roman" w:hAnsi="Times New Roman" w:cs="Times New Roman"/>
                <w:b/>
                <w:sz w:val="21"/>
              </w:rPr>
              <w:t>项目主要生产设备一览表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5"/>
              <w:gridCol w:w="1915"/>
              <w:gridCol w:w="191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序号</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设备名称</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单位</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单位</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备注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1</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混料机</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台</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5" w:type="dxa"/>
                </w:tcPr>
                <w:p>
                  <w:pPr>
                    <w:pStyle w:val="44"/>
                    <w:spacing w:line="240" w:lineRule="auto"/>
                    <w:ind w:firstLine="0" w:firstLineChars="0"/>
                    <w:jc w:val="center"/>
                    <w:rPr>
                      <w:rFonts w:hint="default" w:ascii="Times New Roman" w:hAnsi="Times New Roman" w:cs="Times New Roman"/>
                      <w:sz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注塑机</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台</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5" w:type="dxa"/>
                </w:tcPr>
                <w:p>
                  <w:pPr>
                    <w:pStyle w:val="44"/>
                    <w:spacing w:line="240" w:lineRule="auto"/>
                    <w:ind w:firstLine="0" w:firstLineChars="0"/>
                    <w:jc w:val="center"/>
                    <w:rPr>
                      <w:rFonts w:hint="default" w:ascii="Times New Roman" w:hAnsi="Times New Roman" w:cs="Times New Roman"/>
                      <w:sz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3</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吹塑机</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台</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5" w:type="dxa"/>
                </w:tcPr>
                <w:p>
                  <w:pPr>
                    <w:pStyle w:val="44"/>
                    <w:spacing w:line="240" w:lineRule="auto"/>
                    <w:ind w:firstLine="0" w:firstLineChars="0"/>
                    <w:jc w:val="center"/>
                    <w:rPr>
                      <w:rFonts w:hint="default" w:ascii="Times New Roman" w:hAnsi="Times New Roman" w:cs="Times New Roman"/>
                      <w:sz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4</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气泵</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台</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5" w:type="dxa"/>
                </w:tcPr>
                <w:p>
                  <w:pPr>
                    <w:pStyle w:val="44"/>
                    <w:spacing w:line="240" w:lineRule="auto"/>
                    <w:ind w:firstLine="0" w:firstLineChars="0"/>
                    <w:jc w:val="center"/>
                    <w:rPr>
                      <w:rFonts w:hint="default" w:ascii="Times New Roman" w:hAnsi="Times New Roman" w:cs="Times New Roman"/>
                      <w:sz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5</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修口机</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台</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5" w:type="dxa"/>
                </w:tcPr>
                <w:p>
                  <w:pPr>
                    <w:pStyle w:val="44"/>
                    <w:spacing w:line="240" w:lineRule="auto"/>
                    <w:ind w:firstLine="0" w:firstLineChars="0"/>
                    <w:jc w:val="center"/>
                    <w:rPr>
                      <w:rFonts w:hint="default" w:ascii="Times New Roman" w:hAnsi="Times New Roman" w:cs="Times New Roman"/>
                      <w:sz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6</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破碎机</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台</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5" w:type="dxa"/>
                </w:tcPr>
                <w:p>
                  <w:pPr>
                    <w:pStyle w:val="44"/>
                    <w:spacing w:line="240" w:lineRule="auto"/>
                    <w:ind w:firstLine="0" w:firstLineChars="0"/>
                    <w:jc w:val="center"/>
                    <w:rPr>
                      <w:rFonts w:hint="default" w:ascii="Times New Roman" w:hAnsi="Times New Roman" w:cs="Times New Roman"/>
                      <w:sz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7</w:t>
                  </w:r>
                </w:p>
              </w:tc>
              <w:tc>
                <w:tcPr>
                  <w:tcW w:w="1914"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模具</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组</w:t>
                  </w:r>
                </w:p>
              </w:tc>
              <w:tc>
                <w:tcPr>
                  <w:tcW w:w="1915"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1915" w:type="dxa"/>
                </w:tcPr>
                <w:p>
                  <w:pPr>
                    <w:pStyle w:val="44"/>
                    <w:spacing w:line="240" w:lineRule="auto"/>
                    <w:ind w:firstLine="0" w:firstLineChars="0"/>
                    <w:jc w:val="center"/>
                    <w:rPr>
                      <w:rFonts w:hint="default" w:ascii="Times New Roman" w:hAnsi="Times New Roman" w:cs="Times New Roman"/>
                      <w:sz w:val="21"/>
                    </w:rPr>
                  </w:pPr>
                </w:p>
              </w:tc>
            </w:tr>
          </w:tbl>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2.7平面布置</w:t>
            </w:r>
          </w:p>
          <w:p>
            <w:pPr>
              <w:pStyle w:val="44"/>
              <w:ind w:firstLine="476"/>
              <w:rPr>
                <w:rFonts w:hint="default" w:ascii="Times New Roman" w:hAnsi="Times New Roman" w:cs="Times New Roman"/>
              </w:rPr>
            </w:pPr>
            <w:r>
              <w:rPr>
                <w:rFonts w:hint="default" w:ascii="Times New Roman" w:hAnsi="Times New Roman" w:cs="Times New Roman"/>
              </w:rPr>
              <w:t>本项目办公室与员工宿舍紧邻并排位于厂区南侧，1号生产车间紧邻厂区西侧厂界，2号生产车间与仓库并排紧邻厂区北侧厂界，项目办公室、员工宿舍、产生车间与仓库呈“匚”字布置。</w:t>
            </w:r>
          </w:p>
          <w:p>
            <w:pPr>
              <w:pStyle w:val="44"/>
              <w:ind w:firstLine="476"/>
              <w:rPr>
                <w:rFonts w:hint="default" w:ascii="Times New Roman" w:hAnsi="Times New Roman" w:cs="Times New Roman"/>
              </w:rPr>
            </w:pPr>
            <w:r>
              <w:rPr>
                <w:rFonts w:hint="default" w:ascii="Times New Roman" w:hAnsi="Times New Roman" w:cs="Times New Roman"/>
              </w:rPr>
              <w:t>项目场区平面布置见附图3。</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2.8生产原料</w:t>
            </w:r>
          </w:p>
          <w:p>
            <w:pPr>
              <w:pStyle w:val="44"/>
              <w:ind w:firstLine="480"/>
              <w:rPr>
                <w:rFonts w:hint="default" w:ascii="Times New Roman" w:hAnsi="Times New Roman" w:cs="Times New Roman"/>
              </w:rPr>
            </w:pPr>
            <w:r>
              <w:rPr>
                <w:rFonts w:hint="default" w:ascii="Times New Roman" w:hAnsi="Times New Roman" w:cs="Times New Roman"/>
                <w:spacing w:val="0"/>
              </w:rPr>
              <w:t>本项目为</w:t>
            </w:r>
            <w:r>
              <w:rPr>
                <w:rFonts w:hint="default" w:ascii="Times New Roman" w:hAnsi="Times New Roman" w:cs="Times New Roman"/>
              </w:rPr>
              <w:t>HDPE塑料瓶和HDPE塑料瓶盖生产项目，使用原料为HDPE颗粒塑料和色母。原料使用情况见表2.8-1。</w:t>
            </w:r>
          </w:p>
          <w:p>
            <w:pPr>
              <w:pStyle w:val="2"/>
              <w:pBdr>
                <w:bottom w:val="none" w:color="auto" w:sz="0" w:space="0"/>
              </w:pBdr>
              <w:ind w:firstLine="493"/>
              <w:jc w:val="center"/>
              <w:rPr>
                <w:rFonts w:hint="default" w:ascii="Times New Roman" w:hAnsi="Times New Roman" w:cs="Times New Roman"/>
                <w:b/>
                <w:sz w:val="21"/>
                <w:szCs w:val="21"/>
              </w:rPr>
            </w:pPr>
            <w:r>
              <w:rPr>
                <w:rFonts w:hint="default" w:ascii="Times New Roman" w:hAnsi="Times New Roman" w:cs="Times New Roman"/>
                <w:b/>
                <w:sz w:val="21"/>
                <w:szCs w:val="21"/>
              </w:rPr>
              <w:t>表2.8-1    项目原料情况一览表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3686"/>
              <w:gridCol w:w="359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293"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3686"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原料名称</w:t>
                  </w:r>
                </w:p>
              </w:tc>
              <w:tc>
                <w:tcPr>
                  <w:tcW w:w="3594"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使用量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293"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1</w:t>
                  </w:r>
                </w:p>
              </w:tc>
              <w:tc>
                <w:tcPr>
                  <w:tcW w:w="3686"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HDPE颗粒塑料</w:t>
                  </w:r>
                </w:p>
              </w:tc>
              <w:tc>
                <w:tcPr>
                  <w:tcW w:w="3594"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240t/a</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293"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2</w:t>
                  </w:r>
                </w:p>
              </w:tc>
              <w:tc>
                <w:tcPr>
                  <w:tcW w:w="3686"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色母</w:t>
                  </w:r>
                </w:p>
              </w:tc>
              <w:tc>
                <w:tcPr>
                  <w:tcW w:w="3594"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0.2t/a</w:t>
                  </w:r>
                </w:p>
              </w:tc>
            </w:tr>
          </w:tbl>
          <w:p>
            <w:pPr>
              <w:pStyle w:val="44"/>
              <w:ind w:firstLine="476"/>
              <w:rPr>
                <w:rFonts w:hint="default" w:ascii="Times New Roman" w:hAnsi="Times New Roman" w:cs="Times New Roman"/>
              </w:rPr>
            </w:pPr>
            <w:r>
              <w:rPr>
                <w:rFonts w:hint="default" w:ascii="Times New Roman" w:hAnsi="Times New Roman" w:cs="Times New Roman"/>
              </w:rPr>
              <w:t>项目生产原料理化性质见表2.8-2。</w:t>
            </w:r>
          </w:p>
          <w:p>
            <w:pPr>
              <w:pStyle w:val="2"/>
              <w:pBdr>
                <w:bottom w:val="none" w:color="auto" w:sz="0" w:space="0"/>
              </w:pBdr>
              <w:ind w:firstLine="422" w:firstLineChars="200"/>
              <w:jc w:val="center"/>
              <w:rPr>
                <w:rFonts w:hint="default" w:ascii="Times New Roman" w:hAnsi="Times New Roman" w:cs="Times New Roman"/>
                <w:b/>
                <w:sz w:val="21"/>
                <w:szCs w:val="21"/>
              </w:rPr>
            </w:pPr>
            <w:r>
              <w:rPr>
                <w:rFonts w:hint="default" w:ascii="Times New Roman" w:hAnsi="Times New Roman" w:cs="Times New Roman"/>
                <w:b/>
                <w:sz w:val="21"/>
                <w:szCs w:val="21"/>
              </w:rPr>
              <w:t>表2.8-2    原料理化性质一览表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984"/>
              <w:gridCol w:w="672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68"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1984"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原料名称</w:t>
                  </w:r>
                </w:p>
              </w:tc>
              <w:tc>
                <w:tcPr>
                  <w:tcW w:w="6721"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特性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68"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984"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HDPE颗粒塑料</w:t>
                  </w:r>
                </w:p>
              </w:tc>
              <w:tc>
                <w:tcPr>
                  <w:tcW w:w="6721"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高密度聚乙烯(HDPE)为白色粉末或颗粒状产品．无毒，无味，结晶度为80%～90%，软化点为125～135℃，使用温度可达100℃；硬度、拉伸强度和蠕变性优于低密度聚乙烯；耐磨性、电绝缘性、韧性及耐寒性较好；化学稳定性好，在室温条件下，不溶于任何有机溶剂，耐酸、碱和各种盐类的腐蚀；</w:t>
                  </w:r>
                </w:p>
              </w:tc>
            </w:tr>
          </w:tbl>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2.9产品方案</w:t>
            </w:r>
          </w:p>
          <w:p>
            <w:pPr>
              <w:pStyle w:val="44"/>
              <w:ind w:firstLine="476"/>
              <w:rPr>
                <w:rFonts w:hint="default" w:ascii="Times New Roman" w:hAnsi="Times New Roman" w:cs="Times New Roman"/>
              </w:rPr>
            </w:pPr>
            <w:r>
              <w:rPr>
                <w:rFonts w:hint="default" w:ascii="Times New Roman" w:hAnsi="Times New Roman" w:cs="Times New Roman"/>
              </w:rPr>
              <w:t>本项目年生产塑料瓶360万个，塑料盖1800万个，产品情况见表2.9-1。</w:t>
            </w:r>
          </w:p>
          <w:p>
            <w:pPr>
              <w:pStyle w:val="44"/>
              <w:spacing w:line="240" w:lineRule="auto"/>
              <w:ind w:firstLine="418"/>
              <w:jc w:val="center"/>
              <w:rPr>
                <w:rFonts w:hint="default" w:ascii="Times New Roman" w:hAnsi="Times New Roman" w:cs="Times New Roman"/>
                <w:b/>
                <w:sz w:val="21"/>
              </w:rPr>
            </w:pPr>
            <w:r>
              <w:rPr>
                <w:rFonts w:hint="default" w:ascii="Times New Roman" w:hAnsi="Times New Roman" w:cs="Times New Roman"/>
                <w:b/>
                <w:sz w:val="21"/>
              </w:rPr>
              <w:t>表2.9-1    产品方案一览表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10"/>
              <w:gridCol w:w="3260"/>
              <w:gridCol w:w="430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1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序号</w:t>
                  </w:r>
                </w:p>
              </w:tc>
              <w:tc>
                <w:tcPr>
                  <w:tcW w:w="326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产品名称</w:t>
                  </w:r>
                </w:p>
              </w:tc>
              <w:tc>
                <w:tcPr>
                  <w:tcW w:w="4303"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年产量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1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1</w:t>
                  </w:r>
                </w:p>
              </w:tc>
              <w:tc>
                <w:tcPr>
                  <w:tcW w:w="326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塑料瓶</w:t>
                  </w:r>
                </w:p>
              </w:tc>
              <w:tc>
                <w:tcPr>
                  <w:tcW w:w="4303"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360万个/a</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01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2</w:t>
                  </w:r>
                </w:p>
              </w:tc>
              <w:tc>
                <w:tcPr>
                  <w:tcW w:w="326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塑料盖</w:t>
                  </w:r>
                </w:p>
              </w:tc>
              <w:tc>
                <w:tcPr>
                  <w:tcW w:w="4303"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1800万个/a</w:t>
                  </w:r>
                </w:p>
              </w:tc>
            </w:tr>
          </w:tbl>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2.10项目投资</w:t>
            </w:r>
          </w:p>
          <w:p>
            <w:pPr>
              <w:pStyle w:val="44"/>
              <w:ind w:firstLine="476"/>
              <w:rPr>
                <w:rFonts w:hint="default" w:ascii="Times New Roman" w:hAnsi="Times New Roman" w:cs="Times New Roman"/>
              </w:rPr>
            </w:pPr>
            <w:r>
              <w:rPr>
                <w:rFonts w:hint="default" w:ascii="Times New Roman" w:hAnsi="Times New Roman" w:cs="Times New Roman"/>
              </w:rPr>
              <w:t>本项目共投资40万元，其中环保投资5万元，占总投资的8.33%。投资资金由企业自筹。</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2.11生产机制及定员概况</w:t>
            </w:r>
          </w:p>
          <w:p>
            <w:pPr>
              <w:pStyle w:val="44"/>
              <w:ind w:firstLine="476"/>
              <w:rPr>
                <w:rFonts w:hint="default" w:ascii="Times New Roman" w:hAnsi="Times New Roman" w:cs="Times New Roman"/>
              </w:rPr>
            </w:pPr>
            <w:r>
              <w:rPr>
                <w:rFonts w:hint="default" w:ascii="Times New Roman" w:hAnsi="Times New Roman" w:cs="Times New Roman"/>
              </w:rPr>
              <w:t>本项目设置一条塑料瓶生产线，一条塑料盖生产线。本项目定员16人，每年生产300天，实行3班制，每班8小时。</w:t>
            </w:r>
          </w:p>
          <w:p>
            <w:pPr>
              <w:pStyle w:val="2"/>
              <w:pBdr>
                <w:bottom w:val="none" w:color="auto" w:sz="0" w:space="0"/>
              </w:pBdr>
              <w:spacing w:line="360" w:lineRule="auto"/>
              <w:ind w:firstLine="495"/>
              <w:jc w:val="both"/>
              <w:rPr>
                <w:rFonts w:hint="default" w:ascii="Times New Roman" w:hAnsi="Times New Roman" w:cs="Times New Roman"/>
                <w:b/>
                <w:spacing w:val="-2"/>
                <w:sz w:val="24"/>
                <w:highlight w:val="none"/>
              </w:rPr>
            </w:pPr>
            <w:r>
              <w:rPr>
                <w:rFonts w:hint="default" w:ascii="Times New Roman" w:hAnsi="Times New Roman" w:cs="Times New Roman"/>
                <w:b/>
                <w:spacing w:val="-2"/>
                <w:sz w:val="24"/>
                <w:highlight w:val="none"/>
              </w:rPr>
              <w:t>2.12施工概况</w:t>
            </w:r>
          </w:p>
          <w:p>
            <w:pPr>
              <w:pStyle w:val="44"/>
              <w:ind w:firstLine="476"/>
              <w:rPr>
                <w:rFonts w:hint="default" w:ascii="Times New Roman" w:hAnsi="Times New Roman" w:cs="Times New Roman"/>
              </w:rPr>
            </w:pPr>
            <w:r>
              <w:rPr>
                <w:rFonts w:hint="default" w:ascii="Times New Roman" w:hAnsi="Times New Roman" w:cs="Times New Roman"/>
              </w:rPr>
              <w:t>本项目预计20</w:t>
            </w:r>
            <w:r>
              <w:rPr>
                <w:rFonts w:hint="eastAsia" w:cs="Times New Roman"/>
                <w:lang w:val="en-US" w:eastAsia="zh-CN"/>
              </w:rPr>
              <w:t>20</w:t>
            </w:r>
            <w:r>
              <w:rPr>
                <w:rFonts w:hint="default" w:ascii="Times New Roman" w:hAnsi="Times New Roman" w:cs="Times New Roman"/>
              </w:rPr>
              <w:t>年</w:t>
            </w:r>
            <w:r>
              <w:rPr>
                <w:rFonts w:hint="eastAsia" w:cs="Times New Roman"/>
                <w:lang w:val="en-US" w:eastAsia="zh-CN"/>
              </w:rPr>
              <w:t>5</w:t>
            </w:r>
            <w:r>
              <w:rPr>
                <w:rFonts w:hint="default" w:ascii="Times New Roman" w:hAnsi="Times New Roman" w:cs="Times New Roman"/>
              </w:rPr>
              <w:t>月进行厂区设备安装，20</w:t>
            </w:r>
            <w:r>
              <w:rPr>
                <w:rFonts w:hint="eastAsia" w:cs="Times New Roman"/>
                <w:lang w:val="en-US" w:eastAsia="zh-CN"/>
              </w:rPr>
              <w:t>20</w:t>
            </w:r>
            <w:r>
              <w:rPr>
                <w:rFonts w:hint="default" w:ascii="Times New Roman" w:hAnsi="Times New Roman" w:cs="Times New Roman"/>
              </w:rPr>
              <w:t>年</w:t>
            </w:r>
            <w:r>
              <w:rPr>
                <w:rFonts w:hint="eastAsia" w:cs="Times New Roman"/>
                <w:lang w:val="en-US" w:eastAsia="zh-CN"/>
              </w:rPr>
              <w:t>6</w:t>
            </w:r>
            <w:r>
              <w:rPr>
                <w:rFonts w:hint="default" w:ascii="Times New Roman" w:hAnsi="Times New Roman" w:cs="Times New Roman"/>
              </w:rPr>
              <w:t>月正式投入生产。</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3公用辅助工程</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3.1给水</w:t>
            </w:r>
          </w:p>
          <w:p>
            <w:pPr>
              <w:pStyle w:val="44"/>
              <w:ind w:firstLine="476"/>
              <w:rPr>
                <w:rFonts w:hint="default" w:ascii="Times New Roman" w:hAnsi="Times New Roman" w:cs="Times New Roman"/>
              </w:rPr>
            </w:pPr>
            <w:r>
              <w:rPr>
                <w:rFonts w:hint="default" w:ascii="Times New Roman" w:hAnsi="Times New Roman" w:cs="Times New Roman"/>
              </w:rPr>
              <w:t>本项目用水全部取自园区供水管网，年用水量352m³，其中包括员工生活用水292m³和冷却循环水60m³。</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3.2排水</w:t>
            </w:r>
          </w:p>
          <w:p>
            <w:pPr>
              <w:pStyle w:val="44"/>
              <w:ind w:firstLine="476"/>
              <w:rPr>
                <w:rFonts w:hint="default" w:ascii="Times New Roman" w:hAnsi="Times New Roman" w:cs="Times New Roman"/>
              </w:rPr>
            </w:pPr>
            <w:r>
              <w:rPr>
                <w:rFonts w:hint="default" w:ascii="Times New Roman" w:hAnsi="Times New Roman" w:cs="Times New Roman"/>
              </w:rPr>
              <w:t>本项目无生产废水产生，产生废水主要为员工生活废水，废水产生量为233.6m³/a。员工生活废水通过园区污水管网进行收集输送，由当地污水处理厂统一处理。</w:t>
            </w:r>
          </w:p>
          <w:p>
            <w:pPr>
              <w:pStyle w:val="44"/>
              <w:ind w:firstLine="476"/>
              <w:rPr>
                <w:rFonts w:hint="default" w:ascii="Times New Roman" w:hAnsi="Times New Roman" w:cs="Times New Roman"/>
              </w:rPr>
            </w:pPr>
            <w:r>
              <w:rPr>
                <w:rFonts w:hint="default" w:ascii="Times New Roman" w:hAnsi="Times New Roman" w:cs="Times New Roman"/>
              </w:rPr>
              <w:t>本项目水量平衡图见3.2-1。</w:t>
            </w:r>
          </w:p>
          <w:p>
            <w:pPr>
              <w:pStyle w:val="44"/>
              <w:spacing w:line="240" w:lineRule="auto"/>
              <w:ind w:firstLine="0" w:firstLineChars="0"/>
              <w:rPr>
                <w:rFonts w:hint="default" w:ascii="Times New Roman" w:hAnsi="Times New Roman" w:cs="Times New Roman"/>
              </w:rPr>
            </w:pPr>
            <w:r>
              <w:rPr>
                <w:rFonts w:hint="default" w:ascii="Times New Roman" w:hAnsi="Times New Roman" w:cs="Times New Roman"/>
              </w:rPr>
              <w:drawing>
                <wp:inline distT="0" distB="0" distL="0" distR="0">
                  <wp:extent cx="6132830" cy="1385570"/>
                  <wp:effectExtent l="0" t="0" r="127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58948" cy="1391784"/>
                          </a:xfrm>
                          <a:prstGeom prst="rect">
                            <a:avLst/>
                          </a:prstGeom>
                          <a:noFill/>
                          <a:ln>
                            <a:noFill/>
                          </a:ln>
                        </pic:spPr>
                      </pic:pic>
                    </a:graphicData>
                  </a:graphic>
                </wp:inline>
              </w:drawing>
            </w:r>
          </w:p>
          <w:p>
            <w:pPr>
              <w:pStyle w:val="44"/>
              <w:spacing w:line="240" w:lineRule="auto"/>
              <w:ind w:firstLine="0" w:firstLineChars="0"/>
              <w:jc w:val="center"/>
              <w:rPr>
                <w:rFonts w:hint="default" w:ascii="Times New Roman" w:hAnsi="Times New Roman" w:cs="Times New Roman"/>
                <w:b/>
                <w:sz w:val="21"/>
              </w:rPr>
            </w:pPr>
            <w:r>
              <w:rPr>
                <w:rFonts w:hint="default" w:ascii="Times New Roman" w:hAnsi="Times New Roman" w:cs="Times New Roman"/>
                <w:b/>
                <w:sz w:val="21"/>
              </w:rPr>
              <w:t>图3.2-1       项目水量平衡图</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3.3供电</w:t>
            </w:r>
          </w:p>
          <w:p>
            <w:pPr>
              <w:pStyle w:val="44"/>
              <w:ind w:firstLine="476"/>
              <w:rPr>
                <w:rFonts w:hint="default" w:ascii="Times New Roman" w:hAnsi="Times New Roman" w:cs="Times New Roman"/>
              </w:rPr>
            </w:pPr>
            <w:r>
              <w:rPr>
                <w:rFonts w:hint="default" w:ascii="Times New Roman" w:hAnsi="Times New Roman" w:cs="Times New Roman"/>
              </w:rPr>
              <w:t>项目用电由园区电网供电。</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3.4供暖</w:t>
            </w:r>
          </w:p>
          <w:p>
            <w:pPr>
              <w:pStyle w:val="44"/>
              <w:ind w:firstLine="476"/>
              <w:rPr>
                <w:rFonts w:hint="default" w:ascii="Times New Roman" w:hAnsi="Times New Roman" w:cs="Times New Roman"/>
              </w:rPr>
            </w:pPr>
            <w:r>
              <w:rPr>
                <w:rFonts w:hint="default" w:ascii="Times New Roman" w:hAnsi="Times New Roman" w:cs="Times New Roman"/>
              </w:rPr>
              <w:t>本项目采取电热供暖。</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4项目厂址规划符合性分析</w:t>
            </w:r>
          </w:p>
          <w:p>
            <w:pPr>
              <w:pStyle w:val="44"/>
              <w:ind w:firstLine="476"/>
              <w:rPr>
                <w:rFonts w:hint="eastAsia"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闽昌工业园区位于昌吉市西北部6km处的大西渠镇</w:t>
            </w:r>
            <w:r>
              <w:rPr>
                <w:rFonts w:hint="eastAsia" w:cs="Times New Roman"/>
                <w:color w:val="000000" w:themeColor="text1"/>
                <w:lang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昌吉市大西渠镇闽昌产业集中区属于昌吉市人民政府批准，</w:t>
            </w:r>
            <w:r>
              <w:rPr>
                <w:rFonts w:hint="eastAsia"/>
                <w:color w:val="000000" w:themeColor="text1"/>
                <w14:textFill>
                  <w14:solidFill>
                    <w14:schemeClr w14:val="tx1"/>
                  </w14:solidFill>
                </w14:textFill>
              </w:rPr>
              <w:t>根据《关于闽昌工业园区总体规划（2013-2030）环境影响报告书的审查意见》（新环函【2014】136号）</w:t>
            </w:r>
            <w:r>
              <w:rPr>
                <w:rFonts w:hint="eastAsia"/>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产业集中区规划总面积5000亩，南起昌吉市西延的石河子路，西至大西渠镇行政区划界限，东至大西渠镇区的幸福路，北至昌吉市西延的北环路，规划范围7.4km</w:t>
            </w:r>
            <w:r>
              <w:rPr>
                <w:rFonts w:hint="default" w:ascii="Times New Roman" w:hAnsi="Times New Roman" w:cs="Times New Roman"/>
                <w:color w:val="000000" w:themeColor="text1"/>
                <w:vertAlign w:val="superscript"/>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。规划期限分为近期和远期两个阶段，近期(2012-2015年)、远期(2016-2030)。</w:t>
            </w:r>
            <w:r>
              <w:rPr>
                <w:rFonts w:hint="eastAsia" w:ascii="Times New Roman" w:hAnsi="Times New Roman" w:cs="Times New Roman"/>
                <w:color w:val="000000" w:themeColor="text1"/>
                <w14:textFill>
                  <w14:solidFill>
                    <w14:schemeClr w14:val="tx1"/>
                  </w14:solidFill>
                </w14:textFill>
              </w:rPr>
              <w:t>园区功能定位为以农副产品加工、食品加工、商贸为主导产业。</w:t>
            </w:r>
          </w:p>
          <w:p>
            <w:pPr>
              <w:pStyle w:val="44"/>
              <w:ind w:firstLine="476"/>
              <w:rPr>
                <w:rFonts w:hint="eastAsia"/>
                <w:color w:val="000000" w:themeColor="text1"/>
                <w14:textFill>
                  <w14:solidFill>
                    <w14:schemeClr w14:val="tx1"/>
                  </w14:solidFill>
                </w14:textFill>
              </w:rPr>
            </w:pPr>
            <w:r>
              <w:rPr>
                <w:rFonts w:hint="default" w:ascii="Times New Roman" w:hAnsi="Times New Roman" w:cs="Times New Roman"/>
                <w:color w:val="000000" w:themeColor="text1"/>
                <w:szCs w:val="24"/>
                <w14:textFill>
                  <w14:solidFill>
                    <w14:schemeClr w14:val="tx1"/>
                  </w14:solidFill>
                </w14:textFill>
              </w:rPr>
              <w:t>昌吉市新方金食品包装有限</w:t>
            </w:r>
            <w:r>
              <w:rPr>
                <w:rFonts w:hint="default" w:ascii="Times New Roman" w:hAnsi="Times New Roman" w:cs="Times New Roman"/>
                <w:color w:val="000000" w:themeColor="text1"/>
                <w14:textFill>
                  <w14:solidFill>
                    <w14:schemeClr w14:val="tx1"/>
                  </w14:solidFill>
                </w14:textFill>
              </w:rPr>
              <w:t>公司主要从事食品包装塑料生产，主要产品为酱油包装瓶和包装瓶盖子，</w:t>
            </w:r>
            <w:r>
              <w:rPr>
                <w:rFonts w:hint="eastAsia" w:cs="Times New Roman"/>
                <w:color w:val="000000" w:themeColor="text1"/>
                <w:highlight w:val="none"/>
                <w:lang w:eastAsia="zh-CN"/>
                <w14:textFill>
                  <w14:solidFill>
                    <w14:schemeClr w14:val="tx1"/>
                  </w14:solidFill>
                </w14:textFill>
              </w:rPr>
              <w:t>本项目为食品加工配套产业，经昌吉市大西渠镇人民政府研究决定符合，准予本项目办理入园备案登记。</w:t>
            </w:r>
            <w:r>
              <w:rPr>
                <w:rFonts w:hint="eastAsia"/>
                <w:color w:val="000000" w:themeColor="text1"/>
                <w:highlight w:val="none"/>
                <w14:textFill>
                  <w14:solidFill>
                    <w14:schemeClr w14:val="tx1"/>
                  </w14:solidFill>
                </w14:textFill>
              </w:rPr>
              <w:t>本项</w:t>
            </w:r>
            <w:r>
              <w:rPr>
                <w:rFonts w:hint="eastAsia"/>
                <w:color w:val="000000" w:themeColor="text1"/>
                <w14:textFill>
                  <w14:solidFill>
                    <w14:schemeClr w14:val="tx1"/>
                  </w14:solidFill>
                </w14:textFill>
              </w:rPr>
              <w:t>目的建设符合《</w:t>
            </w:r>
            <w:r>
              <w:rPr>
                <w:color w:val="000000" w:themeColor="text1"/>
                <w14:textFill>
                  <w14:solidFill>
                    <w14:schemeClr w14:val="tx1"/>
                  </w14:solidFill>
                </w14:textFill>
              </w:rPr>
              <w:t>闽昌工业园</w:t>
            </w:r>
            <w:r>
              <w:rPr>
                <w:rFonts w:hint="eastAsia"/>
                <w:color w:val="000000" w:themeColor="text1"/>
                <w14:textFill>
                  <w14:solidFill>
                    <w14:schemeClr w14:val="tx1"/>
                  </w14:solidFill>
                </w14:textFill>
              </w:rPr>
              <w:t>总体规划》（2016年-2030年）中的产业定位和土地利用规划的要求。工业园区产业定位和土地利用规划图见</w:t>
            </w:r>
            <w:r>
              <w:rPr>
                <w:rFonts w:hint="eastAsia"/>
                <w:color w:val="000000" w:themeColor="text1"/>
                <w:lang w:eastAsia="zh-CN"/>
                <w14:textFill>
                  <w14:solidFill>
                    <w14:schemeClr w14:val="tx1"/>
                  </w14:solidFill>
                </w14:textFill>
              </w:rPr>
              <w:t>附</w:t>
            </w:r>
            <w:r>
              <w:rPr>
                <w:rFonts w:hint="eastAsia"/>
                <w:color w:val="000000" w:themeColor="text1"/>
                <w14:textFill>
                  <w14:solidFill>
                    <w14:schemeClr w14:val="tx1"/>
                  </w14:solidFill>
                </w14:textFill>
              </w:rPr>
              <w:t>图4。</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5.产业政策合理性分析</w:t>
            </w:r>
          </w:p>
          <w:p>
            <w:pPr>
              <w:pStyle w:val="44"/>
              <w:ind w:firstLine="476"/>
              <w:rPr>
                <w:rFonts w:hint="default" w:ascii="Times New Roman" w:hAnsi="Times New Roman" w:cs="Times New Roman"/>
              </w:rPr>
            </w:pPr>
            <w:r>
              <w:rPr>
                <w:rFonts w:hint="default" w:ascii="Times New Roman" w:hAnsi="Times New Roman" w:cs="Times New Roman"/>
              </w:rPr>
              <w:t>本项目不属于国家发改委21号令：《产业结构调整指导目录（2011年本）》（2013年修订）中“限制类”和“淘汰类”项目，视为允许类产业政策中允许建设的项目，项目建设符合国家产业政策。</w:t>
            </w:r>
          </w:p>
          <w:p>
            <w:pPr>
              <w:pStyle w:val="2"/>
              <w:pBdr>
                <w:bottom w:val="none" w:color="auto" w:sz="0" w:space="0"/>
              </w:pBdr>
              <w:spacing w:line="360" w:lineRule="auto"/>
              <w:ind w:firstLine="495"/>
              <w:jc w:val="both"/>
              <w:rPr>
                <w:rFonts w:hint="default" w:ascii="Times New Roman" w:hAnsi="Times New Roman" w:cs="Times New Roman"/>
                <w:b/>
                <w:spacing w:val="-2"/>
                <w:sz w:val="24"/>
              </w:rPr>
            </w:pPr>
            <w:r>
              <w:rPr>
                <w:rFonts w:hint="default" w:ascii="Times New Roman" w:hAnsi="Times New Roman" w:cs="Times New Roman"/>
                <w:b/>
                <w:spacing w:val="-2"/>
                <w:sz w:val="24"/>
              </w:rPr>
              <w:t>6.“三线一单”符合性分析</w:t>
            </w:r>
          </w:p>
          <w:p>
            <w:pPr>
              <w:pStyle w:val="44"/>
              <w:ind w:firstLine="476"/>
              <w:rPr>
                <w:rFonts w:hint="default" w:ascii="Times New Roman" w:hAnsi="Times New Roman" w:cs="Times New Roman"/>
              </w:rPr>
            </w:pPr>
            <w:r>
              <w:rPr>
                <w:rFonts w:hint="default" w:ascii="Times New Roman" w:hAnsi="Times New Roman" w:cs="Times New Roman"/>
              </w:rPr>
              <w:t>“三线一单”指的是生态保护红线、环境质量底线、资源利用上线和污染物负面排放清单。本项目用地性质为工业用地，所在地不属于自然生态红线区，符合生态保护红线要求；根据项目所在地环境质量调查和污染物排放影响预测，本项目实施后对区域内环境影响较小，环境质量可以保持现有水平，符合环境质量底线要求。本项目水资源、电资源消耗量相对区域资源利用总量较少，符合资源利用上线要求；本项目不属于环境功能区区划中的负面清单项目。</w:t>
            </w:r>
          </w:p>
          <w:p>
            <w:pPr>
              <w:pStyle w:val="44"/>
              <w:spacing w:line="240" w:lineRule="auto"/>
              <w:ind w:firstLine="418"/>
              <w:jc w:val="center"/>
              <w:rPr>
                <w:rFonts w:hint="default" w:ascii="Times New Roman" w:hAnsi="Times New Roman" w:cs="Times New Roman"/>
                <w:b/>
                <w:sz w:val="21"/>
              </w:rPr>
            </w:pPr>
            <w:r>
              <w:rPr>
                <w:rFonts w:hint="default" w:ascii="Times New Roman" w:hAnsi="Times New Roman" w:cs="Times New Roman"/>
                <w:b/>
                <w:sz w:val="21"/>
              </w:rPr>
              <w:t>表6-1    “三线一单”符合性一览表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6698"/>
              <w:gridCol w:w="94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内容</w:t>
                  </w:r>
                </w:p>
              </w:tc>
              <w:tc>
                <w:tcPr>
                  <w:tcW w:w="669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符合性分析</w:t>
                  </w:r>
                </w:p>
              </w:tc>
              <w:tc>
                <w:tcPr>
                  <w:tcW w:w="947"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备注</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生态保护红线</w:t>
                  </w:r>
                </w:p>
              </w:tc>
              <w:tc>
                <w:tcPr>
                  <w:tcW w:w="669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本项目位于昌吉市闽昌工业园区内，周边无自然保护区，饮用水源保护区等生态保护目标，符合生态保护红线要求。</w:t>
                  </w:r>
                </w:p>
              </w:tc>
              <w:tc>
                <w:tcPr>
                  <w:tcW w:w="947"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资源利用上线</w:t>
                  </w:r>
                </w:p>
              </w:tc>
              <w:tc>
                <w:tcPr>
                  <w:tcW w:w="669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本项目运营过程中消耗一定电、水资源，项目消耗量相对区域资源利用总量较少，符合资源利用上线要求。</w:t>
                  </w:r>
                </w:p>
              </w:tc>
              <w:tc>
                <w:tcPr>
                  <w:tcW w:w="947"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环境质量底线</w:t>
                  </w:r>
                </w:p>
              </w:tc>
              <w:tc>
                <w:tcPr>
                  <w:tcW w:w="669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本项目废气经处理措施处理后对周边环境影响较小，噪声经降噪处理后对周围环境影响较小，符合环境质量底线要求。</w:t>
                  </w:r>
                </w:p>
              </w:tc>
              <w:tc>
                <w:tcPr>
                  <w:tcW w:w="947"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92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负面清单</w:t>
                  </w:r>
                </w:p>
              </w:tc>
              <w:tc>
                <w:tcPr>
                  <w:tcW w:w="6698" w:type="dxa"/>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本项目位于昌吉市闽昌工业园区内，不在功能区的负面清单内。</w:t>
                  </w:r>
                </w:p>
              </w:tc>
              <w:tc>
                <w:tcPr>
                  <w:tcW w:w="947" w:type="dxa"/>
                  <w:vAlign w:val="center"/>
                </w:tcPr>
                <w:p>
                  <w:pPr>
                    <w:pStyle w:val="2"/>
                    <w:pBdr>
                      <w:bottom w:val="none" w:color="auto" w:sz="0" w:space="0"/>
                    </w:pBdr>
                    <w:rPr>
                      <w:rFonts w:hint="default" w:ascii="Times New Roman" w:hAnsi="Times New Roman" w:cs="Times New Roman"/>
                      <w:sz w:val="21"/>
                      <w:szCs w:val="21"/>
                    </w:rPr>
                  </w:pPr>
                  <w:r>
                    <w:rPr>
                      <w:rFonts w:hint="default" w:ascii="Times New Roman" w:hAnsi="Times New Roman" w:cs="Times New Roman"/>
                      <w:sz w:val="21"/>
                      <w:szCs w:val="21"/>
                    </w:rPr>
                    <w:t>/</w:t>
                  </w:r>
                </w:p>
              </w:tc>
            </w:tr>
          </w:tbl>
          <w:p>
            <w:pPr>
              <w:pStyle w:val="2"/>
              <w:pBdr>
                <w:bottom w:val="none" w:color="auto" w:sz="0" w:space="0"/>
              </w:pBdr>
              <w:spacing w:line="360" w:lineRule="auto"/>
              <w:jc w:val="both"/>
              <w:rPr>
                <w:rFonts w:hint="default" w:ascii="Times New Roman" w:hAnsi="Times New Roman" w:cs="Times New Roman"/>
                <w:b/>
                <w:spacing w:val="-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5000" w:type="pct"/>
            <w:gridSpan w:val="7"/>
          </w:tcPr>
          <w:p>
            <w:pPr>
              <w:rPr>
                <w:rFonts w:hint="default" w:ascii="Times New Roman" w:hAnsi="Times New Roman" w:cs="Times New Roman"/>
                <w:b/>
                <w:sz w:val="28"/>
                <w:szCs w:val="28"/>
              </w:rPr>
            </w:pPr>
            <w:r>
              <w:rPr>
                <w:rFonts w:hint="default" w:ascii="Times New Roman" w:hAnsi="Times New Roman" w:cs="Times New Roman"/>
                <w:b/>
                <w:sz w:val="28"/>
                <w:szCs w:val="28"/>
              </w:rPr>
              <w:t>与本项目有关的原有污染情况及主要环境问题：</w:t>
            </w:r>
          </w:p>
          <w:p>
            <w:pPr>
              <w:ind w:firstLine="480" w:firstLineChars="200"/>
              <w:rPr>
                <w:rFonts w:hint="default" w:ascii="Times New Roman" w:hAnsi="Times New Roman" w:cs="Times New Roman"/>
                <w:snapToGrid w:val="0"/>
                <w:kern w:val="0"/>
              </w:rPr>
            </w:pPr>
            <w:r>
              <w:rPr>
                <w:rFonts w:hint="default" w:ascii="Times New Roman" w:hAnsi="Times New Roman" w:cs="Times New Roman"/>
                <w:snapToGrid w:val="0"/>
                <w:kern w:val="0"/>
              </w:rPr>
              <w:t>本项目为新建项目，不开展土建，租用园区内现有厂房进行生产。租用厂房为园区内闲置厂房</w:t>
            </w:r>
            <w:r>
              <w:rPr>
                <w:rFonts w:hint="eastAsia" w:cs="Times New Roman"/>
                <w:snapToGrid w:val="0"/>
                <w:color w:val="000000" w:themeColor="text1"/>
                <w:kern w:val="0"/>
                <w:lang w:eastAsia="zh-CN"/>
                <w14:textFill>
                  <w14:solidFill>
                    <w14:schemeClr w14:val="tx1"/>
                  </w14:solidFill>
                </w14:textFill>
              </w:rPr>
              <w:t>（</w:t>
            </w:r>
            <w:r>
              <w:rPr>
                <w:rFonts w:hint="eastAsia" w:cs="Times New Roman"/>
                <w:snapToGrid w:val="0"/>
                <w:color w:val="000000" w:themeColor="text1"/>
                <w:kern w:val="0"/>
                <w:lang w:val="en-US" w:eastAsia="zh-CN"/>
                <w14:textFill>
                  <w14:solidFill>
                    <w14:schemeClr w14:val="tx1"/>
                  </w14:solidFill>
                </w14:textFill>
              </w:rPr>
              <w:t>2年前项目区为瓜子加工企业，该企业因经营不善倒闭</w:t>
            </w:r>
            <w:r>
              <w:rPr>
                <w:rFonts w:hint="eastAsia" w:cs="Times New Roman"/>
                <w:snapToGrid w:val="0"/>
                <w:color w:val="000000" w:themeColor="text1"/>
                <w:kern w:val="0"/>
                <w:lang w:eastAsia="zh-CN"/>
                <w14:textFill>
                  <w14:solidFill>
                    <w14:schemeClr w14:val="tx1"/>
                  </w14:solidFill>
                </w14:textFill>
              </w:rPr>
              <w:t>）</w:t>
            </w:r>
            <w:r>
              <w:rPr>
                <w:rFonts w:hint="default" w:ascii="Times New Roman" w:hAnsi="Times New Roman" w:cs="Times New Roman"/>
                <w:snapToGrid w:val="0"/>
                <w:color w:val="000000" w:themeColor="text1"/>
                <w:kern w:val="0"/>
                <w14:textFill>
                  <w14:solidFill>
                    <w14:schemeClr w14:val="tx1"/>
                  </w14:solidFill>
                </w14:textFill>
              </w:rPr>
              <w:t>，厂房路面均已</w:t>
            </w:r>
            <w:r>
              <w:rPr>
                <w:rFonts w:hint="default" w:ascii="Times New Roman" w:hAnsi="Times New Roman" w:cs="Times New Roman"/>
                <w:snapToGrid w:val="0"/>
                <w:kern w:val="0"/>
              </w:rPr>
              <w:t>硬化处理，地面整洁无垃圾堆存，厂房内环境条件较为良好。</w:t>
            </w: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pStyle w:val="44"/>
              <w:ind w:firstLine="476"/>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ind w:firstLine="480"/>
              <w:rPr>
                <w:rFonts w:hint="default" w:ascii="Times New Roman" w:hAnsi="Times New Roman" w:cs="Times New Roman"/>
                <w:szCs w:val="24"/>
              </w:rPr>
            </w:pPr>
          </w:p>
          <w:p>
            <w:pPr>
              <w:rPr>
                <w:rFonts w:hint="default" w:ascii="Times New Roman" w:hAnsi="Times New Roman" w:cs="Times New Roman"/>
                <w:szCs w:val="24"/>
              </w:rPr>
            </w:pPr>
          </w:p>
        </w:tc>
      </w:tr>
    </w:tbl>
    <w:p>
      <w:pPr>
        <w:spacing w:line="240" w:lineRule="auto"/>
        <w:rPr>
          <w:rFonts w:hint="default" w:ascii="Times New Roman" w:hAnsi="Times New Roman" w:cs="Times New Roman"/>
          <w:b/>
          <w:sz w:val="30"/>
          <w:szCs w:val="30"/>
        </w:rPr>
      </w:pPr>
      <w:r>
        <w:rPr>
          <w:rFonts w:hint="default" w:ascii="Times New Roman" w:hAnsi="Times New Roman" w:cs="Times New Roman"/>
          <w:b/>
          <w:sz w:val="30"/>
          <w:szCs w:val="30"/>
        </w:rPr>
        <w:t>建设项目所在地自然环境社会环境简况</w:t>
      </w:r>
    </w:p>
    <w:tbl>
      <w:tblPr>
        <w:tblStyle w:val="15"/>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tcPr>
          <w:p>
            <w:pPr>
              <w:rPr>
                <w:rFonts w:hint="default"/>
              </w:rPr>
            </w:pPr>
            <w:r>
              <w:rPr>
                <w:rFonts w:hint="default"/>
              </w:rPr>
              <w:t>自然环境简况（地形、地貌、地质、气候、气象、水文、植被、矿产、生物多样性等）：</w:t>
            </w:r>
          </w:p>
          <w:p>
            <w:pPr>
              <w:pStyle w:val="9"/>
              <w:spacing w:line="360" w:lineRule="auto"/>
              <w:ind w:firstLine="560" w:firstLineChars="200"/>
              <w:rPr>
                <w:rFonts w:hint="default"/>
              </w:rPr>
            </w:pPr>
            <w:r>
              <w:rPr>
                <w:rFonts w:hint="default"/>
              </w:rPr>
              <w:t>1.地理位置</w:t>
            </w:r>
          </w:p>
          <w:p>
            <w:pPr>
              <w:ind w:firstLine="480" w:firstLineChars="200"/>
              <w:rPr>
                <w:rFonts w:hint="default"/>
              </w:rPr>
            </w:pPr>
            <w:r>
              <w:rPr>
                <w:rFonts w:hint="default"/>
              </w:rPr>
              <w:t>昌吉市位于天山北麓，地处亚欧大陆腹地，准噶尔盆地南缘，地处86°24′-87°37′，北纬43°06′-45°20′。东距首府乌鲁木齐市35公里，西毗呼图壁县，南与新疆巴音郭楞蒙古自治州和静县相接，北与新疆塔城地区和布克赛尔县、阿勒泰地区福海县接壤。南北长260公里，东西宽30公里，距乌鲁木齐国际机场18公里，312国道、第二座亚欧大陆桥和乌奎高速公路穿境而过，是通向北疆各地的交通要道。</w:t>
            </w:r>
          </w:p>
          <w:p>
            <w:pPr>
              <w:pStyle w:val="44"/>
              <w:ind w:firstLine="476"/>
              <w:rPr>
                <w:rFonts w:hint="default" w:ascii="Times New Roman" w:hAnsi="Times New Roman" w:cs="Times New Roman"/>
              </w:rPr>
            </w:pPr>
            <w:r>
              <w:rPr>
                <w:rFonts w:hint="default"/>
              </w:rPr>
              <w:t>本项目位于新疆昌吉回族自治州昌吉市大西渠镇闽昌工业园区幸福大道，坐标N44° 1'51.53"</w:t>
            </w:r>
            <w:r>
              <w:rPr>
                <w:rFonts w:hint="eastAsia"/>
                <w:lang w:eastAsia="zh-CN"/>
              </w:rPr>
              <w:t>；</w:t>
            </w:r>
            <w:r>
              <w:rPr>
                <w:rFonts w:hint="default"/>
              </w:rPr>
              <w:t>E87°12'25.50"。</w:t>
            </w:r>
            <w:r>
              <w:rPr>
                <w:rFonts w:hint="default" w:ascii="Times New Roman" w:hAnsi="Times New Roman" w:cs="Times New Roman"/>
              </w:rPr>
              <w:t>祥顺修理厂位于厂区东侧，与厂区隔路相望；厂址北侧为未开发工业工地；昌吉市洁润塑业制品有限公司位于厂区西侧，紧邻厂区；本项目南侧为昌吉市协力塑业有限公司，西南侧为昌吉市仁昌商贸有限公司和昌吉市吉翔商贸有限公司。</w:t>
            </w:r>
            <w:r>
              <w:rPr>
                <w:rFonts w:hint="default"/>
              </w:rPr>
              <w:t>项目区地理位置图见附图1</w:t>
            </w:r>
            <w:r>
              <w:rPr>
                <w:rFonts w:hint="eastAsia"/>
                <w:lang w:eastAsia="zh-CN"/>
              </w:rPr>
              <w:t>，</w:t>
            </w:r>
            <w:r>
              <w:rPr>
                <w:rFonts w:hint="default" w:ascii="Times New Roman" w:hAnsi="Times New Roman" w:cs="Times New Roman"/>
              </w:rPr>
              <w:t>本项目周边情况图见附图2。</w:t>
            </w:r>
          </w:p>
          <w:p>
            <w:pPr>
              <w:pStyle w:val="9"/>
              <w:spacing w:line="355" w:lineRule="auto"/>
              <w:ind w:firstLine="560" w:firstLineChars="200"/>
              <w:rPr>
                <w:rFonts w:hint="default"/>
              </w:rPr>
            </w:pPr>
            <w:r>
              <w:rPr>
                <w:rFonts w:hint="default"/>
              </w:rPr>
              <w:t>2</w:t>
            </w:r>
            <w:r>
              <w:rPr>
                <w:rFonts w:hint="eastAsia"/>
                <w:lang w:eastAsia="zh-CN"/>
              </w:rPr>
              <w:t>.</w:t>
            </w:r>
            <w:r>
              <w:rPr>
                <w:rFonts w:hint="default"/>
              </w:rPr>
              <w:t>地形地貌</w:t>
            </w:r>
          </w:p>
          <w:p>
            <w:pPr>
              <w:ind w:firstLine="480" w:firstLineChars="200"/>
              <w:rPr>
                <w:rFonts w:hint="default"/>
              </w:rPr>
            </w:pPr>
            <w:r>
              <w:rPr>
                <w:rFonts w:hint="default"/>
              </w:rPr>
              <w:t>昌吉市地貌类型大体分为南部山地、中部平原、北部沙漠三大部分，整个地势呈南高北低阶梯之势，南北高差4000多米。境内最高峰天格尔峰，海拔4562米。市境出露地层呈多样。出露于最南端的三屯河上有至乌鲁木齐冰达坂以北为元古界。上古生界地层发育较为齐全，组成高山区的主要地层，从东到西都有分布。古生界—中生界出露于昌吉河等地。中生界二迭系仅在昌吉河左岸出露，属玛纳斯地层小区。侏罗系主要分布于昌吉河、三屯河和头屯河。白垩系分布于三屯河一带。新生界在昌吉范围内分布较为广泛，主要分布于山前及准噶尔盆地南缘和准噶尔盆地内。</w:t>
            </w:r>
          </w:p>
          <w:p>
            <w:pPr>
              <w:ind w:firstLine="480" w:firstLineChars="200"/>
              <w:rPr>
                <w:rFonts w:hint="default"/>
              </w:rPr>
            </w:pPr>
            <w:r>
              <w:rPr>
                <w:rFonts w:hint="default"/>
              </w:rPr>
              <w:t>昌吉市所处I级大地构造单元，为天山—兴安地槽系，II级构造单元为北天山地槽系，其中又可分为北天山优地槽褶皱带及准噶尔地块和中天山隆起三个亚II级构造单元。中天山隆起带未分出III级构造单元。北天山优地槽褶皱带，可分出依连哈比尔尕复背斜、博罗霍洛复背斜两个III级构造单元。准噶尔地块可分为乌鲁木齐山前坳陷和准噶尔盆地新生带掩盖区两个III级构造单元。</w:t>
            </w:r>
          </w:p>
          <w:p>
            <w:pPr>
              <w:ind w:firstLine="480" w:firstLineChars="200"/>
              <w:rPr>
                <w:rFonts w:hint="default"/>
              </w:rPr>
            </w:pPr>
            <w:r>
              <w:rPr>
                <w:rFonts w:hint="default"/>
              </w:rPr>
              <w:t>昌吉市地貌类型大体分为山地、平原、沙漠三大部分。整个地势为南高北低，呈阶梯状，南北高差4000多米。南部山地为天山山区，天格尔山等55个海拔400米以上的山峰横空矗立。中部为冲积平原，北部沙漠属古尔班通古特大沙漠一部分，沙丘为固定和半固定型，丘间地势平坦。</w:t>
            </w:r>
          </w:p>
          <w:p>
            <w:pPr>
              <w:ind w:firstLine="480" w:firstLineChars="200"/>
              <w:rPr>
                <w:rFonts w:hint="default"/>
              </w:rPr>
            </w:pPr>
            <w:r>
              <w:rPr>
                <w:rFonts w:hint="default"/>
              </w:rPr>
              <w:t>项目区所在地地势较平坦，地貌形态单一，场地现为已建设用地，微地貌变化不大。</w:t>
            </w:r>
          </w:p>
          <w:p>
            <w:pPr>
              <w:pStyle w:val="9"/>
              <w:spacing w:line="355" w:lineRule="auto"/>
              <w:ind w:firstLine="560" w:firstLineChars="200"/>
              <w:rPr>
                <w:rFonts w:hint="default"/>
              </w:rPr>
            </w:pPr>
            <w:r>
              <w:rPr>
                <w:rFonts w:hint="default"/>
              </w:rPr>
              <w:t>3.气候、气象</w:t>
            </w:r>
          </w:p>
          <w:p>
            <w:pPr>
              <w:spacing w:line="355" w:lineRule="auto"/>
              <w:ind w:firstLine="480" w:firstLineChars="200"/>
              <w:rPr>
                <w:rFonts w:hint="default"/>
              </w:rPr>
            </w:pPr>
            <w:r>
              <w:rPr>
                <w:rFonts w:hint="default"/>
              </w:rPr>
              <w:t>昌吉市属中温带区，为典型的大陆性干旱气候，具有冬季寒冷、夏季炎热、昼夜温差大的特点。由于地形条件的影响，由南向北气候差异较大，南部夏季降水较多；北部沙漠性气候特征显著。昌吉州日照充足，年日照时数为2700小时；热量条件也较为充足，年≥10℃积温为3450℃，年平均气温6.8℃，1月份平均气温为-15.6℃，7月份平均气温为24.5℃；年平均降水量为214.6毫米，夏季降水量明显多于冬季；年无霜期为160-190天。年主导风向为西南风，全年平均风速为2.1m/s。</w:t>
            </w:r>
          </w:p>
          <w:p>
            <w:pPr>
              <w:spacing w:line="240" w:lineRule="auto"/>
              <w:ind w:right="132" w:rightChars="55" w:firstLine="480" w:firstLineChars="200"/>
              <w:rPr>
                <w:rFonts w:hint="default"/>
              </w:rPr>
            </w:pPr>
            <w:r>
              <w:rPr>
                <w:rFonts w:hint="default"/>
              </w:rPr>
              <w:t xml:space="preserve">                                         </w:t>
            </w:r>
            <w:r>
              <w:rPr>
                <w:rFonts w:hint="eastAsia"/>
                <w:lang w:eastAsia="zh-CN"/>
              </w:rPr>
              <w:t>表</w:t>
            </w:r>
            <w:r>
              <w:rPr>
                <w:rFonts w:hint="eastAsia"/>
                <w:lang w:val="en-US" w:eastAsia="zh-CN"/>
              </w:rPr>
              <w:t xml:space="preserve">3-1    </w:t>
            </w:r>
            <w:r>
              <w:rPr>
                <w:rFonts w:hint="default"/>
              </w:rPr>
              <w:t>昌吉市主要气象参数一览表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759"/>
              <w:gridCol w:w="480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主要气象参数</w:t>
                  </w:r>
                </w:p>
              </w:tc>
              <w:tc>
                <w:tcPr>
                  <w:tcW w:w="4806" w:type="dxa"/>
                </w:tcPr>
                <w:p>
                  <w:pPr>
                    <w:spacing w:line="240" w:lineRule="auto"/>
                    <w:ind w:right="132" w:rightChars="55"/>
                    <w:jc w:val="center"/>
                    <w:rPr>
                      <w:rFonts w:hint="default"/>
                    </w:rPr>
                  </w:pPr>
                  <w:r>
                    <w:rPr>
                      <w:rFonts w:hint="default"/>
                    </w:rPr>
                    <w:t>数值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年平均气温</w:t>
                  </w:r>
                </w:p>
              </w:tc>
              <w:tc>
                <w:tcPr>
                  <w:tcW w:w="4806" w:type="dxa"/>
                </w:tcPr>
                <w:p>
                  <w:pPr>
                    <w:spacing w:line="240" w:lineRule="auto"/>
                    <w:ind w:right="132" w:rightChars="55"/>
                    <w:jc w:val="center"/>
                    <w:rPr>
                      <w:rFonts w:hint="default"/>
                    </w:rPr>
                  </w:pPr>
                  <w:r>
                    <w:rPr>
                      <w:rFonts w:hint="eastAsia"/>
                      <w:lang w:val="en-US" w:eastAsia="zh-CN"/>
                    </w:rPr>
                    <w:t>6.8</w:t>
                  </w:r>
                  <w:r>
                    <w:rPr>
                      <w:rFonts w:hint="default"/>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历年极端最低气温</w:t>
                  </w:r>
                </w:p>
              </w:tc>
              <w:tc>
                <w:tcPr>
                  <w:tcW w:w="4806" w:type="dxa"/>
                </w:tcPr>
                <w:p>
                  <w:pPr>
                    <w:spacing w:line="240" w:lineRule="auto"/>
                    <w:ind w:right="132" w:rightChars="55"/>
                    <w:jc w:val="center"/>
                    <w:rPr>
                      <w:rFonts w:hint="default"/>
                    </w:rPr>
                  </w:pPr>
                  <w:r>
                    <w:rPr>
                      <w:rFonts w:hint="default"/>
                    </w:rPr>
                    <w:t>-</w:t>
                  </w:r>
                  <w:r>
                    <w:rPr>
                      <w:rFonts w:hint="eastAsia"/>
                      <w:lang w:val="en-US" w:eastAsia="zh-CN"/>
                    </w:rPr>
                    <w:t>37.5</w:t>
                  </w:r>
                  <w:r>
                    <w:rPr>
                      <w:rFonts w:hint="default"/>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历年极端最高气温</w:t>
                  </w:r>
                </w:p>
              </w:tc>
              <w:tc>
                <w:tcPr>
                  <w:tcW w:w="4806" w:type="dxa"/>
                </w:tcPr>
                <w:p>
                  <w:pPr>
                    <w:spacing w:line="240" w:lineRule="auto"/>
                    <w:ind w:right="132" w:rightChars="55"/>
                    <w:jc w:val="center"/>
                    <w:rPr>
                      <w:rFonts w:hint="default"/>
                    </w:rPr>
                  </w:pPr>
                  <w:r>
                    <w:rPr>
                      <w:rFonts w:hint="default"/>
                    </w:rPr>
                    <w:t>43.5℃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年平均气压</w:t>
                  </w:r>
                </w:p>
              </w:tc>
              <w:tc>
                <w:tcPr>
                  <w:tcW w:w="4806" w:type="dxa"/>
                </w:tcPr>
                <w:p>
                  <w:pPr>
                    <w:spacing w:line="240" w:lineRule="auto"/>
                    <w:ind w:right="132" w:rightChars="55"/>
                    <w:jc w:val="center"/>
                    <w:rPr>
                      <w:rFonts w:hint="default"/>
                    </w:rPr>
                  </w:pPr>
                  <w:r>
                    <w:rPr>
                      <w:rFonts w:hint="default"/>
                    </w:rPr>
                    <w:t>952.9hpa</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无霜期</w:t>
                  </w:r>
                </w:p>
              </w:tc>
              <w:tc>
                <w:tcPr>
                  <w:tcW w:w="4806" w:type="dxa"/>
                </w:tcPr>
                <w:p>
                  <w:pPr>
                    <w:spacing w:line="240" w:lineRule="auto"/>
                    <w:ind w:right="132" w:rightChars="55"/>
                    <w:jc w:val="center"/>
                    <w:rPr>
                      <w:rFonts w:hint="default"/>
                    </w:rPr>
                  </w:pPr>
                  <w:r>
                    <w:rPr>
                      <w:rFonts w:hint="default"/>
                    </w:rPr>
                    <w:t>160~170d</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年平均降水量</w:t>
                  </w:r>
                </w:p>
              </w:tc>
              <w:tc>
                <w:tcPr>
                  <w:tcW w:w="4806" w:type="dxa"/>
                </w:tcPr>
                <w:p>
                  <w:pPr>
                    <w:spacing w:line="240" w:lineRule="auto"/>
                    <w:ind w:right="132" w:rightChars="55"/>
                    <w:jc w:val="center"/>
                    <w:rPr>
                      <w:rFonts w:hint="default"/>
                    </w:rPr>
                  </w:pPr>
                  <w:r>
                    <w:rPr>
                      <w:rFonts w:hint="default"/>
                    </w:rPr>
                    <w:t>214.6mm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年最大蒸发量</w:t>
                  </w:r>
                </w:p>
              </w:tc>
              <w:tc>
                <w:tcPr>
                  <w:tcW w:w="4806" w:type="dxa"/>
                </w:tcPr>
                <w:p>
                  <w:pPr>
                    <w:spacing w:line="240" w:lineRule="auto"/>
                    <w:ind w:right="132" w:rightChars="55"/>
                    <w:jc w:val="center"/>
                    <w:rPr>
                      <w:rFonts w:hint="default"/>
                    </w:rPr>
                  </w:pPr>
                  <w:r>
                    <w:rPr>
                      <w:rFonts w:hint="default"/>
                    </w:rPr>
                    <w:t>1672.4mm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相对湿度</w:t>
                  </w:r>
                </w:p>
              </w:tc>
              <w:tc>
                <w:tcPr>
                  <w:tcW w:w="4806" w:type="dxa"/>
                </w:tcPr>
                <w:p>
                  <w:pPr>
                    <w:spacing w:line="240" w:lineRule="auto"/>
                    <w:ind w:right="132" w:rightChars="55"/>
                    <w:jc w:val="center"/>
                    <w:rPr>
                      <w:rFonts w:hint="default"/>
                    </w:rPr>
                  </w:pPr>
                  <w:r>
                    <w:rPr>
                      <w:rFonts w:hint="default"/>
                    </w:rPr>
                    <w:t>60.1%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日照参数</w:t>
                  </w:r>
                </w:p>
              </w:tc>
              <w:tc>
                <w:tcPr>
                  <w:tcW w:w="4806" w:type="dxa"/>
                </w:tcPr>
                <w:p>
                  <w:pPr>
                    <w:spacing w:line="240" w:lineRule="auto"/>
                    <w:ind w:right="132" w:rightChars="55"/>
                    <w:jc w:val="center"/>
                    <w:rPr>
                      <w:rFonts w:hint="default"/>
                    </w:rPr>
                  </w:pPr>
                  <w:r>
                    <w:rPr>
                      <w:rFonts w:hint="default"/>
                    </w:rPr>
                    <w:t>63%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年平均风速</w:t>
                  </w:r>
                </w:p>
              </w:tc>
              <w:tc>
                <w:tcPr>
                  <w:tcW w:w="4806" w:type="dxa"/>
                </w:tcPr>
                <w:p>
                  <w:pPr>
                    <w:spacing w:line="240" w:lineRule="auto"/>
                    <w:ind w:right="132" w:rightChars="55"/>
                    <w:jc w:val="center"/>
                    <w:rPr>
                      <w:rFonts w:hint="default"/>
                    </w:rPr>
                  </w:pPr>
                  <w:r>
                    <w:rPr>
                      <w:rFonts w:hint="default"/>
                    </w:rPr>
                    <w:t>2.1m/s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年主导风向</w:t>
                  </w:r>
                </w:p>
              </w:tc>
              <w:tc>
                <w:tcPr>
                  <w:tcW w:w="4806" w:type="dxa"/>
                </w:tcPr>
                <w:p>
                  <w:pPr>
                    <w:spacing w:line="240" w:lineRule="auto"/>
                    <w:ind w:right="132" w:rightChars="55"/>
                    <w:jc w:val="center"/>
                    <w:rPr>
                      <w:rFonts w:hint="default"/>
                    </w:rPr>
                  </w:pPr>
                  <w:r>
                    <w:rPr>
                      <w:rFonts w:hint="default"/>
                    </w:rPr>
                    <w:t>西南风</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最大冻土深度</w:t>
                  </w:r>
                </w:p>
              </w:tc>
              <w:tc>
                <w:tcPr>
                  <w:tcW w:w="4806" w:type="dxa"/>
                </w:tcPr>
                <w:p>
                  <w:pPr>
                    <w:spacing w:line="240" w:lineRule="auto"/>
                    <w:ind w:right="132" w:rightChars="55"/>
                    <w:jc w:val="center"/>
                    <w:rPr>
                      <w:rFonts w:hint="default"/>
                    </w:rPr>
                  </w:pPr>
                  <w:r>
                    <w:rPr>
                      <w:rFonts w:hint="default"/>
                    </w:rPr>
                    <w:t>150cm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759" w:type="dxa"/>
                </w:tcPr>
                <w:p>
                  <w:pPr>
                    <w:spacing w:line="240" w:lineRule="auto"/>
                    <w:ind w:right="132" w:rightChars="55"/>
                    <w:jc w:val="center"/>
                    <w:rPr>
                      <w:rFonts w:hint="default"/>
                    </w:rPr>
                  </w:pPr>
                  <w:r>
                    <w:rPr>
                      <w:rFonts w:hint="default"/>
                    </w:rPr>
                    <w:t>地震烈度</w:t>
                  </w:r>
                </w:p>
              </w:tc>
              <w:tc>
                <w:tcPr>
                  <w:tcW w:w="4806" w:type="dxa"/>
                </w:tcPr>
                <w:p>
                  <w:pPr>
                    <w:spacing w:line="240" w:lineRule="auto"/>
                    <w:ind w:right="132" w:rightChars="55"/>
                    <w:jc w:val="center"/>
                    <w:rPr>
                      <w:rFonts w:hint="default"/>
                    </w:rPr>
                  </w:pPr>
                  <w:r>
                    <w:rPr>
                      <w:rFonts w:hint="default"/>
                    </w:rPr>
                    <w:t>7度</w:t>
                  </w:r>
                </w:p>
              </w:tc>
            </w:tr>
          </w:tbl>
          <w:p>
            <w:pPr>
              <w:ind w:firstLine="480" w:firstLineChars="200"/>
              <w:rPr>
                <w:rFonts w:hint="default"/>
              </w:rPr>
            </w:pPr>
            <w:r>
              <w:rPr>
                <w:rFonts w:hint="default"/>
              </w:rPr>
              <w:t>项目所在区域属于温带大陆性气候，夏季炎热，冬季严寒且昼夜温差大，热量丰富、光照充足，但降水较少，蒸发强烈、气候干燥。</w:t>
            </w:r>
          </w:p>
          <w:p>
            <w:pPr>
              <w:ind w:firstLine="480" w:firstLineChars="200"/>
              <w:rPr>
                <w:rFonts w:hint="default"/>
              </w:rPr>
            </w:pPr>
            <w:r>
              <w:rPr>
                <w:rFonts w:hint="default"/>
              </w:rPr>
              <w:t>4.水文及水文地质</w:t>
            </w:r>
          </w:p>
          <w:p>
            <w:pPr>
              <w:ind w:firstLine="480" w:firstLineChars="200"/>
              <w:rPr>
                <w:rFonts w:hint="default"/>
              </w:rPr>
            </w:pPr>
            <w:r>
              <w:rPr>
                <w:rFonts w:hint="default"/>
              </w:rPr>
              <w:t>（1）地表水概况</w:t>
            </w:r>
          </w:p>
          <w:p>
            <w:pPr>
              <w:ind w:firstLine="480" w:firstLineChars="200"/>
              <w:rPr>
                <w:rFonts w:hint="default"/>
              </w:rPr>
            </w:pPr>
            <w:r>
              <w:rPr>
                <w:rFonts w:hint="default"/>
              </w:rPr>
              <w:t>昌吉市水源地位于天山北麓准噶尔盆地南缘头顿河一三屯河冲洪积山前倾斜平原中下部。分布着两条常年性河流：头屯河年平均径流量2.34亿m</w:t>
            </w:r>
            <w:r>
              <w:rPr>
                <w:rFonts w:hint="default"/>
                <w:vertAlign w:val="superscript"/>
              </w:rPr>
              <w:t>3</w:t>
            </w:r>
            <w:r>
              <w:rPr>
                <w:rFonts w:hint="default"/>
              </w:rPr>
              <w:t>，三屯河年平均径流量3.29亿m</w:t>
            </w:r>
            <w:r>
              <w:rPr>
                <w:rFonts w:hint="default"/>
                <w:vertAlign w:val="superscript"/>
              </w:rPr>
              <w:t>3</w:t>
            </w:r>
            <w:r>
              <w:rPr>
                <w:rFonts w:hint="default"/>
              </w:rPr>
              <w:t>。少部分河水出山口后被渠道引走，其余全部下渗补给地下水。</w:t>
            </w:r>
          </w:p>
          <w:p>
            <w:pPr>
              <w:ind w:firstLine="480" w:firstLineChars="200"/>
              <w:rPr>
                <w:rFonts w:hint="default"/>
              </w:rPr>
            </w:pPr>
            <w:r>
              <w:rPr>
                <w:rFonts w:hint="default"/>
              </w:rPr>
              <w:t>头屯河、三屯河冲洪积平原分布着巨厚的第四纪松散堆积物。具有典型的山前倾斜平原蓄水构造。两河冲洪积平原中下部地层具有多层结构。上部赋存有潜水，下部150m深度内分布着三层承压水。饱水带厚400～500m。含水层为砂砾石、卵砾石层。隔水层为亚砂土、亚粘土层潜水含水层厚20～30m，第一层承压水含水层厚5～15m，第二层为10～15m，第三层为30～35m。开采层位为单一结构的潜水含水层。水力坡度为1％，平均渗透系数为71.42m/d，平均给水度为0.22，单位涌水量14.11L／s·m，单井最大涌水量6 854m3/d。水质优良，符合国家饮用水质标准。项目区附近无地表水。</w:t>
            </w:r>
          </w:p>
          <w:p>
            <w:pPr>
              <w:ind w:firstLine="480" w:firstLineChars="200"/>
              <w:rPr>
                <w:rFonts w:hint="default"/>
              </w:rPr>
            </w:pPr>
            <w:r>
              <w:rPr>
                <w:rFonts w:hint="default"/>
              </w:rPr>
              <w:t>（2）地下水概况</w:t>
            </w:r>
          </w:p>
          <w:p>
            <w:pPr>
              <w:ind w:firstLine="480" w:firstLineChars="200"/>
              <w:rPr>
                <w:rFonts w:hint="default"/>
              </w:rPr>
            </w:pPr>
            <w:r>
              <w:rPr>
                <w:rFonts w:hint="default"/>
              </w:rPr>
              <w:t>根据昌吉市区地形地貌、区域水文地质条件、岩层富水性、埋藏条件等因素，把第四系松散岩层分为三个水文地质区，即：</w:t>
            </w:r>
            <w:r>
              <w:rPr>
                <w:rFonts w:hint="default"/>
              </w:rPr>
              <w:fldChar w:fldCharType="begin"/>
            </w:r>
            <w:r>
              <w:rPr>
                <w:rFonts w:hint="default"/>
              </w:rPr>
              <w:instrText xml:space="preserve"> = 1 \* ROMAN </w:instrText>
            </w:r>
            <w:r>
              <w:rPr>
                <w:rFonts w:hint="default"/>
              </w:rPr>
              <w:fldChar w:fldCharType="separate"/>
            </w:r>
            <w:r>
              <w:rPr>
                <w:rFonts w:hint="default"/>
              </w:rPr>
              <w:t>I</w:t>
            </w:r>
            <w:r>
              <w:rPr>
                <w:rFonts w:hint="default"/>
              </w:rPr>
              <w:fldChar w:fldCharType="end"/>
            </w:r>
            <w:r>
              <w:rPr>
                <w:rFonts w:hint="default"/>
              </w:rPr>
              <w:t>区-头屯河、三屯河河床砂砾石潜水区；</w:t>
            </w:r>
            <w:r>
              <w:rPr>
                <w:rFonts w:hint="default"/>
              </w:rPr>
              <w:fldChar w:fldCharType="begin"/>
            </w:r>
            <w:r>
              <w:rPr>
                <w:rFonts w:hint="default"/>
              </w:rPr>
              <w:instrText xml:space="preserve"> = 2 \* ROMAN </w:instrText>
            </w:r>
            <w:r>
              <w:rPr>
                <w:rFonts w:hint="default"/>
              </w:rPr>
              <w:fldChar w:fldCharType="separate"/>
            </w:r>
            <w:r>
              <w:rPr>
                <w:rFonts w:hint="default"/>
              </w:rPr>
              <w:t>II</w:t>
            </w:r>
            <w:r>
              <w:rPr>
                <w:rFonts w:hint="default"/>
              </w:rPr>
              <w:fldChar w:fldCharType="end"/>
            </w:r>
            <w:r>
              <w:rPr>
                <w:rFonts w:hint="default"/>
              </w:rPr>
              <w:t>区-头屯河、三屯河冲积洪积扇中部潜水富水区；</w:t>
            </w:r>
            <w:r>
              <w:rPr>
                <w:rFonts w:hint="default"/>
              </w:rPr>
              <w:fldChar w:fldCharType="begin"/>
            </w:r>
            <w:r>
              <w:rPr>
                <w:rFonts w:hint="default"/>
              </w:rPr>
              <w:instrText xml:space="preserve"> = 3 \* ROMAN </w:instrText>
            </w:r>
            <w:r>
              <w:rPr>
                <w:rFonts w:hint="default"/>
              </w:rPr>
              <w:fldChar w:fldCharType="separate"/>
            </w:r>
            <w:r>
              <w:rPr>
                <w:rFonts w:hint="default"/>
              </w:rPr>
              <w:t>III</w:t>
            </w:r>
            <w:r>
              <w:rPr>
                <w:rFonts w:hint="default"/>
              </w:rPr>
              <w:fldChar w:fldCharType="end"/>
            </w:r>
            <w:r>
              <w:rPr>
                <w:rFonts w:hint="default"/>
              </w:rPr>
              <w:t>区-冲洪积扇末端表面潜水及承压自流水区。</w:t>
            </w:r>
          </w:p>
          <w:p>
            <w:pPr>
              <w:ind w:firstLine="480" w:firstLineChars="200"/>
              <w:rPr>
                <w:rFonts w:hint="default"/>
              </w:rPr>
            </w:pPr>
            <w:r>
              <w:rPr>
                <w:rFonts w:hint="default"/>
              </w:rPr>
              <w:t>本项目所在区域地下水属于</w:t>
            </w:r>
            <w:r>
              <w:rPr>
                <w:rFonts w:hint="default"/>
              </w:rPr>
              <w:fldChar w:fldCharType="begin"/>
            </w:r>
            <w:r>
              <w:rPr>
                <w:rFonts w:hint="default"/>
              </w:rPr>
              <w:instrText xml:space="preserve"> = 2 \* ROMAN </w:instrText>
            </w:r>
            <w:r>
              <w:rPr>
                <w:rFonts w:hint="default"/>
              </w:rPr>
              <w:fldChar w:fldCharType="separate"/>
            </w:r>
            <w:r>
              <w:rPr>
                <w:rFonts w:hint="default"/>
              </w:rPr>
              <w:t>II</w:t>
            </w:r>
            <w:r>
              <w:rPr>
                <w:rFonts w:hint="default"/>
              </w:rPr>
              <w:fldChar w:fldCharType="end"/>
            </w:r>
            <w:r>
              <w:rPr>
                <w:rFonts w:hint="default"/>
              </w:rPr>
              <w:t>区：头屯河、三屯河冲积洪积扇中部潜水富水区，位于312国道以北，以粉砂及砂砾石为主，地下水埋深在30-60m，水位变化为1-3m，水化学稳定。这一带含水层为砂砾石，水位埋深大于50m，向北过渡为砂、砂夹砾石、粉砂及砂质粘土等，含水层逐渐变为承压含水层。</w:t>
            </w:r>
          </w:p>
          <w:p>
            <w:pPr>
              <w:pStyle w:val="9"/>
              <w:spacing w:line="360" w:lineRule="auto"/>
              <w:ind w:firstLine="560" w:firstLineChars="200"/>
              <w:rPr>
                <w:rFonts w:hint="default"/>
              </w:rPr>
            </w:pPr>
            <w:r>
              <w:rPr>
                <w:rFonts w:hint="default"/>
              </w:rPr>
              <w:t>5.动植物情况</w:t>
            </w:r>
          </w:p>
          <w:p>
            <w:pPr>
              <w:ind w:firstLine="480" w:firstLineChars="200"/>
              <w:rPr>
                <w:rFonts w:hint="default"/>
              </w:rPr>
            </w:pPr>
            <w:r>
              <w:rPr>
                <w:rFonts w:hint="default"/>
              </w:rPr>
              <w:t>昌吉市境内野生动植物资源种类众多，数量丰富。野生动物有雪豹、棕熊、羚羊、马鹿、黄牛等上百种珍禽异兽，其中国家一类保护动物有12种，二类保护动物有42种。木本植物有云杉、落叶松、山杨、桦树、忍冬、白腊、红柳、梭梭等多种林木；草本植物有苔草、珠芽蓼、鹅冠草、羽衣草、雀麦、羊芽、骆驼刺等；同时还生长着雪莲、贝母、阿魏、麻黄、枸杞、苍耳等一百多种名贵药材。</w:t>
            </w:r>
          </w:p>
          <w:p>
            <w:pPr>
              <w:ind w:firstLine="480" w:firstLineChars="200"/>
              <w:rPr>
                <w:rFonts w:hint="default"/>
              </w:rPr>
            </w:pPr>
            <w:r>
              <w:rPr>
                <w:rFonts w:hint="default"/>
              </w:rPr>
              <w:t>项目区为典型的城市生态环境，长期以来，受人类开发建设活动的影响，其生态环境已受到一定程度的破坏。根据现场勘查，项目厂区绿化面积较少，周边林带树木以榆树为主，无大型哺乳动物活动，仅有一些常见的鸟类分布，种类单一，数量也不多，项目区无国家或自治区保护物种分布。</w:t>
            </w:r>
          </w:p>
          <w:p>
            <w:pPr>
              <w:pStyle w:val="9"/>
              <w:spacing w:line="360" w:lineRule="auto"/>
              <w:ind w:firstLine="560" w:firstLineChars="200"/>
              <w:rPr>
                <w:rFonts w:hint="default"/>
              </w:rPr>
            </w:pPr>
            <w:r>
              <w:rPr>
                <w:rFonts w:hint="default"/>
              </w:rPr>
              <w:t>6.土地资源</w:t>
            </w:r>
          </w:p>
          <w:p>
            <w:pPr>
              <w:ind w:firstLine="480" w:firstLineChars="200"/>
              <w:rPr>
                <w:rFonts w:hint="default"/>
              </w:rPr>
            </w:pPr>
            <w:r>
              <w:rPr>
                <w:rFonts w:hint="default"/>
              </w:rPr>
              <w:t>昌吉市土壤从大的方面分为山地垂直土壤带和山前平原区土壤带。根据土壤普查， 山区土壤的垂直带分布较为完整，共有高山草甸土、亚高山草甸土、山地灰褐色森林土、山地粟钙土、山地棕钙土、山地灰漠土等6个土类。农区土壤（平原土壤）分 6 个土类，12个亚类，21个土属，29个土种，52个变种。土壤有机质含量在1.5%以上的仅占农区的39.2%，全氮在0.075%以上的占49.8%；土壤肥力比较差的土地约占60%，其中76%的土壤缺氮，33%的土壤缺磷，大部分土壤有机质和全氮含量较低，而且土壤母质盐分重。</w:t>
            </w:r>
          </w:p>
          <w:p>
            <w:pPr>
              <w:ind w:firstLine="480" w:firstLineChars="200"/>
              <w:rPr>
                <w:rFonts w:hint="eastAsia"/>
              </w:rPr>
            </w:pPr>
            <w:r>
              <w:rPr>
                <w:rFonts w:hint="eastAsia"/>
                <w:lang w:val="en-US" w:eastAsia="zh-CN"/>
              </w:rPr>
              <w:t>7.</w:t>
            </w:r>
            <w:r>
              <w:rPr>
                <w:rFonts w:hint="eastAsia"/>
              </w:rPr>
              <w:t>闽昌工业园概况</w:t>
            </w:r>
          </w:p>
          <w:p>
            <w:pPr>
              <w:ind w:firstLine="480" w:firstLineChars="200"/>
              <w:rPr>
                <w:rFonts w:hint="eastAsia"/>
              </w:rPr>
            </w:pPr>
            <w:r>
              <w:rPr>
                <w:rFonts w:hint="eastAsia"/>
              </w:rPr>
              <w:t>根据《关于闽昌工业园区总体规划（2013-2030）环境影响报告书的审查意见》（新环函【2014】136号）</w:t>
            </w:r>
            <w:r>
              <w:rPr>
                <w:rFonts w:hint="eastAsia"/>
                <w:lang w:eastAsia="zh-CN"/>
              </w:rPr>
              <w:t>，</w:t>
            </w:r>
            <w:r>
              <w:rPr>
                <w:rFonts w:hint="eastAsia"/>
              </w:rPr>
              <w:t>闽昌工业园区位于昌吉市西北部6km处的大西渠镇。产业集中区规划总面积5000亩，南起昌吉市西延的石河子路，西至大西渠镇行政区划界限，东至大西渠镇区的幸福路，北至昌吉市西延的北环路，规划范围7.4km</w:t>
            </w:r>
            <w:r>
              <w:rPr>
                <w:rFonts w:hint="eastAsia"/>
                <w:vertAlign w:val="superscript"/>
              </w:rPr>
              <w:t>2</w:t>
            </w:r>
            <w:r>
              <w:rPr>
                <w:rFonts w:hint="eastAsia"/>
              </w:rPr>
              <w:t>。规划期限分为近期和远期两个阶段，近期(2012-2015年)、远期(2016-2030)。产业定位以农副产品加工、食品加工、商贸物流为主的工业产业集中区。</w:t>
            </w:r>
          </w:p>
          <w:p>
            <w:pPr>
              <w:ind w:firstLine="480" w:firstLineChars="200"/>
              <w:rPr>
                <w:rFonts w:hint="eastAsia"/>
              </w:rPr>
            </w:pPr>
            <w:r>
              <w:rPr>
                <w:rFonts w:hint="eastAsia"/>
              </w:rPr>
              <w:t>闽昌工业园区产业布局分布分为“三片区”：二类工业区、一类工业区、商贸物流区。一类工业区</w:t>
            </w:r>
            <w:r>
              <w:rPr>
                <w:rFonts w:hint="eastAsia"/>
                <w:lang w:val="en-US" w:eastAsia="zh-CN"/>
              </w:rPr>
              <w:t>-</w:t>
            </w:r>
            <w:r>
              <w:rPr>
                <w:rFonts w:hint="eastAsia"/>
              </w:rPr>
              <w:t>位于南公园路以北乌昌大道以南的产业区和现状存在的昌吉糖厂区域，规划面积175.5hm</w:t>
            </w:r>
            <w:r>
              <w:rPr>
                <w:rFonts w:hint="eastAsia"/>
                <w:vertAlign w:val="superscript"/>
              </w:rPr>
              <w:t>2</w:t>
            </w:r>
            <w:r>
              <w:rPr>
                <w:rFonts w:hint="eastAsia"/>
              </w:rPr>
              <w:t>。主要产业类型为农副产品精深加工业和生物产业，并在幸福路西侧规划一条宽50m的防护绿地，减少工业污染物对居民的影响。二类工业区</w:t>
            </w:r>
            <w:r>
              <w:rPr>
                <w:rFonts w:hint="eastAsia"/>
                <w:lang w:val="en-US" w:eastAsia="zh-CN"/>
              </w:rPr>
              <w:t>-</w:t>
            </w:r>
            <w:r>
              <w:rPr>
                <w:rFonts w:hint="eastAsia"/>
              </w:rPr>
              <w:t>位于石河子路以北南公园路以南的产业区现状存在的昌吉糖厂区域，规划面积334.5hm</w:t>
            </w:r>
            <w:r>
              <w:rPr>
                <w:rFonts w:hint="eastAsia"/>
                <w:vertAlign w:val="superscript"/>
              </w:rPr>
              <w:t>2</w:t>
            </w:r>
            <w:r>
              <w:rPr>
                <w:rFonts w:hint="eastAsia"/>
              </w:rPr>
              <w:t>。把本区调整成二类工业用地，以食品加工业为主和少量的建材制造业，产业区和生活区之间规划一条宽50m的防护绿地，减少工业污染物对居民的影响。商贸物流区</w:t>
            </w:r>
            <w:r>
              <w:rPr>
                <w:rFonts w:hint="eastAsia"/>
                <w:lang w:val="en-US" w:eastAsia="zh-CN"/>
              </w:rPr>
              <w:t>-</w:t>
            </w:r>
            <w:r>
              <w:rPr>
                <w:rFonts w:hint="eastAsia"/>
              </w:rPr>
              <w:t>在乌昌大道北侧规划了商贸物流区，其中在宁边路和乌昌大道之间位于建设城郊商贸物流区，主要发展以农机、二手车交易及服务为主的专业市场，规划面积30hm</w:t>
            </w:r>
            <w:r>
              <w:rPr>
                <w:rFonts w:hint="eastAsia"/>
                <w:vertAlign w:val="superscript"/>
              </w:rPr>
              <w:t>2</w:t>
            </w:r>
            <w:r>
              <w:rPr>
                <w:rFonts w:hint="eastAsia"/>
              </w:rPr>
              <w:t>。在宁边路以北北环路以南区域，主要以农副产品展销区、同时具有农产品、食品冷藏功能，规划面积56.1hm</w:t>
            </w:r>
            <w:r>
              <w:rPr>
                <w:rFonts w:hint="eastAsia"/>
                <w:vertAlign w:val="superscript"/>
              </w:rPr>
              <w:t>2</w:t>
            </w:r>
            <w:r>
              <w:rPr>
                <w:rFonts w:hint="eastAsia"/>
              </w:rPr>
              <w:t>。</w:t>
            </w:r>
          </w:p>
          <w:p>
            <w:pPr>
              <w:ind w:firstLine="480" w:firstLineChars="200"/>
              <w:rPr>
                <w:rFonts w:hint="default"/>
              </w:rPr>
            </w:pPr>
            <w:r>
              <w:rPr>
                <w:rFonts w:hint="eastAsia"/>
              </w:rPr>
              <w:t>本项目位于闽昌工业园区，基础设施均已建成，与项目建设配套的道路、水、电、通讯、供热等基础设施均满足项目运行期的配套设施要求和交通运输条件。闽昌工业园区污水依托昌吉市第二污水处理厂处理，第二污水处理</w:t>
            </w:r>
            <w:r>
              <w:rPr>
                <w:rFonts w:hint="eastAsia"/>
                <w:color w:val="000000" w:themeColor="text1"/>
                <w14:textFill>
                  <w14:solidFill>
                    <w14:schemeClr w14:val="tx1"/>
                  </w14:solidFill>
                </w14:textFill>
              </w:rPr>
              <w:t>厂</w:t>
            </w:r>
            <w:r>
              <w:rPr>
                <w:rFonts w:ascii="宋体" w:hAnsi="宋体" w:eastAsia="宋体" w:cs="宋体"/>
                <w:color w:val="000000" w:themeColor="text1"/>
                <w:sz w:val="24"/>
                <w:szCs w:val="24"/>
                <w14:textFill>
                  <w14:solidFill>
                    <w14:schemeClr w14:val="tx1"/>
                  </w14:solidFill>
                </w14:textFill>
              </w:rPr>
              <w:t>采用卡鲁塞尔氧化工艺</w:t>
            </w:r>
            <w:r>
              <w:rPr>
                <w:rFonts w:hint="eastAsia"/>
                <w:color w:val="000000" w:themeColor="text1"/>
                <w14:textFill>
                  <w14:solidFill>
                    <w14:schemeClr w14:val="tx1"/>
                  </w14:solidFill>
                </w14:textFill>
              </w:rPr>
              <w:t>，日污水</w:t>
            </w:r>
            <w:r>
              <w:rPr>
                <w:rFonts w:hint="eastAsia"/>
              </w:rPr>
              <w:t>处理能力10万立方米。</w:t>
            </w:r>
          </w:p>
          <w:p>
            <w:pPr>
              <w:pStyle w:val="2"/>
              <w:rPr>
                <w:rFonts w:hint="default"/>
              </w:rPr>
            </w:pPr>
          </w:p>
        </w:tc>
      </w:tr>
    </w:tbl>
    <w:p>
      <w:pPr>
        <w:spacing w:line="240" w:lineRule="auto"/>
        <w:rPr>
          <w:rFonts w:hint="default" w:ascii="Times New Roman" w:hAnsi="Times New Roman" w:cs="Times New Roman"/>
          <w:b/>
          <w:sz w:val="32"/>
          <w:szCs w:val="32"/>
        </w:rPr>
      </w:pPr>
      <w:r>
        <w:rPr>
          <w:rFonts w:hint="default" w:ascii="Times New Roman" w:hAnsi="Times New Roman" w:cs="Times New Roman"/>
          <w:b/>
          <w:sz w:val="32"/>
          <w:szCs w:val="32"/>
        </w:rPr>
        <w:t>环境质量状况</w:t>
      </w:r>
    </w:p>
    <w:tbl>
      <w:tblPr>
        <w:tblStyle w:val="15"/>
        <w:tblW w:w="9781"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tcPr>
          <w:p>
            <w:pPr>
              <w:pStyle w:val="9"/>
              <w:spacing w:line="360" w:lineRule="auto"/>
              <w:rPr>
                <w:rFonts w:hint="default" w:ascii="Times New Roman" w:hAnsi="Times New Roman" w:cs="Times New Roman"/>
                <w:b/>
                <w:bCs/>
              </w:rPr>
            </w:pPr>
            <w:r>
              <w:rPr>
                <w:rFonts w:hint="default" w:ascii="Times New Roman" w:hAnsi="Times New Roman" w:cs="Times New Roman"/>
                <w:b/>
                <w:bCs/>
              </w:rPr>
              <w:t>建设项目所在地地区环境质量现状及主要环境问题（环境空气、地面水、地下水、声环境、生态环境等）</w:t>
            </w:r>
          </w:p>
          <w:p>
            <w:pPr>
              <w:ind w:firstLine="562" w:firstLineChars="200"/>
              <w:rPr>
                <w:rFonts w:hint="default" w:ascii="Times New Roman" w:hAnsi="Times New Roman" w:cs="Times New Roman"/>
                <w:b/>
                <w:sz w:val="28"/>
                <w:szCs w:val="28"/>
              </w:rPr>
            </w:pPr>
            <w:r>
              <w:rPr>
                <w:rFonts w:hint="default" w:ascii="Times New Roman" w:hAnsi="Times New Roman" w:cs="Times New Roman"/>
                <w:b/>
                <w:sz w:val="28"/>
                <w:szCs w:val="28"/>
              </w:rPr>
              <w:t>一、大气环境质量现状</w:t>
            </w:r>
          </w:p>
          <w:p>
            <w:pPr>
              <w:spacing w:line="360" w:lineRule="auto"/>
              <w:ind w:firstLine="482" w:firstLineChars="200"/>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1.1</w:t>
            </w:r>
            <w:r>
              <w:rPr>
                <w:rFonts w:hint="default" w:ascii="Times New Roman" w:hAnsi="Times New Roman" w:cs="Times New Roman"/>
                <w:b/>
                <w:bCs/>
                <w:color w:val="000000" w:themeColor="text1"/>
                <w14:textFill>
                  <w14:solidFill>
                    <w14:schemeClr w14:val="tx1"/>
                  </w14:solidFill>
                </w14:textFill>
              </w:rPr>
              <w:t>评价标准</w:t>
            </w:r>
          </w:p>
          <w:p>
            <w:pPr>
              <w:spacing w:line="360" w:lineRule="auto"/>
              <w:ind w:firstLine="48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本项目环境空气质量评价标准常规污染物选用《环境空气质量标准》（GB3095-2012）中的二级标准进行评价，其浓度限值见表1</w:t>
            </w:r>
            <w:r>
              <w:rPr>
                <w:rFonts w:hint="eastAsia" w:cs="Times New Roman"/>
                <w:color w:val="000000" w:themeColor="text1"/>
                <w:lang w:val="en-US" w:eastAsia="zh-CN"/>
                <w14:textFill>
                  <w14:solidFill>
                    <w14:schemeClr w14:val="tx1"/>
                  </w14:solidFill>
                </w14:textFill>
              </w:rPr>
              <w:t>.1-1</w:t>
            </w:r>
            <w:r>
              <w:rPr>
                <w:rFonts w:hint="default" w:ascii="Times New Roman" w:hAnsi="Times New Roman" w:cs="Times New Roman"/>
                <w:color w:val="000000" w:themeColor="text1"/>
                <w14:textFill>
                  <w14:solidFill>
                    <w14:schemeClr w14:val="tx1"/>
                  </w14:solidFill>
                </w14:textFill>
              </w:rPr>
              <w:t>。</w:t>
            </w:r>
          </w:p>
          <w:p>
            <w:pPr>
              <w:pStyle w:val="10"/>
              <w:adjustRightInd w:val="0"/>
              <w:snapToGrid w:val="0"/>
              <w:ind w:firstLine="422"/>
              <w:jc w:val="center"/>
              <w:rPr>
                <w:rFonts w:hint="default" w:ascii="Times New Roman" w:hAnsi="Times New Roman" w:cs="Times New Roman"/>
                <w:b/>
                <w:color w:val="000000" w:themeColor="text1"/>
                <w:sz w:val="21"/>
                <w14:textFill>
                  <w14:solidFill>
                    <w14:schemeClr w14:val="tx1"/>
                  </w14:solidFill>
                </w14:textFill>
              </w:rPr>
            </w:pPr>
            <w:r>
              <w:rPr>
                <w:rFonts w:hint="default" w:ascii="Times New Roman" w:hAnsi="Times New Roman" w:cs="Times New Roman"/>
                <w:b/>
                <w:color w:val="000000" w:themeColor="text1"/>
                <w:sz w:val="21"/>
                <w14:textFill>
                  <w14:solidFill>
                    <w14:schemeClr w14:val="tx1"/>
                  </w14:solidFill>
                </w14:textFill>
              </w:rPr>
              <w:t>表</w:t>
            </w:r>
            <w:r>
              <w:rPr>
                <w:rFonts w:hint="default" w:ascii="Times New Roman" w:hAnsi="Times New Roman" w:cs="Times New Roman"/>
                <w:b/>
                <w:color w:val="000000" w:themeColor="text1"/>
                <w:sz w:val="21"/>
                <w:lang w:val="en-US" w:eastAsia="zh-CN"/>
                <w14:textFill>
                  <w14:solidFill>
                    <w14:schemeClr w14:val="tx1"/>
                  </w14:solidFill>
                </w14:textFill>
              </w:rPr>
              <w:t>1.1-1</w:t>
            </w:r>
            <w:r>
              <w:rPr>
                <w:rFonts w:hint="default" w:ascii="Times New Roman" w:hAnsi="Times New Roman" w:cs="Times New Roman"/>
                <w:b/>
                <w:color w:val="000000" w:themeColor="text1"/>
                <w:sz w:val="21"/>
                <w14:textFill>
                  <w14:solidFill>
                    <w14:schemeClr w14:val="tx1"/>
                  </w14:solidFill>
                </w14:textFill>
              </w:rPr>
              <w:t xml:space="preserve">    环境空气质量评价标准限值</w:t>
            </w:r>
          </w:p>
          <w:tbl>
            <w:tblPr>
              <w:tblStyle w:val="14"/>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6"/>
              <w:gridCol w:w="1562"/>
              <w:gridCol w:w="2801"/>
              <w:gridCol w:w="1915"/>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10" w:type="pct"/>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序号</w:t>
                  </w:r>
                </w:p>
              </w:tc>
              <w:tc>
                <w:tcPr>
                  <w:tcW w:w="818" w:type="pct"/>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污染物</w:t>
                  </w:r>
                </w:p>
              </w:tc>
              <w:tc>
                <w:tcPr>
                  <w:tcW w:w="2470" w:type="pct"/>
                  <w:gridSpan w:val="2"/>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浓度限值（</w:t>
                  </w:r>
                  <w:r>
                    <w:rPr>
                      <w:rFonts w:hint="default" w:ascii="Times New Roman" w:hAnsi="Times New Roman" w:cs="Times New Roman"/>
                      <w:b/>
                      <w:bCs/>
                      <w:color w:val="000000" w:themeColor="text1"/>
                      <w:sz w:val="21"/>
                      <w:szCs w:val="21"/>
                      <w14:textFill>
                        <w14:solidFill>
                          <w14:schemeClr w14:val="tx1"/>
                        </w14:solidFill>
                      </w14:textFill>
                    </w:rPr>
                    <w:t>μg/m</w:t>
                  </w:r>
                  <w:r>
                    <w:rPr>
                      <w:rFonts w:hint="default" w:ascii="Times New Roman" w:hAnsi="Times New Roman" w:cs="Times New Roman"/>
                      <w:b/>
                      <w:bCs/>
                      <w:color w:val="000000" w:themeColor="text1"/>
                      <w:sz w:val="21"/>
                      <w:szCs w:val="21"/>
                      <w:vertAlign w:val="superscript"/>
                      <w14:textFill>
                        <w14:solidFill>
                          <w14:schemeClr w14:val="tx1"/>
                        </w14:solidFill>
                      </w14:textFill>
                    </w:rPr>
                    <w:t>3</w:t>
                  </w:r>
                  <w:r>
                    <w:rPr>
                      <w:rFonts w:hint="default" w:ascii="Times New Roman" w:hAnsi="Times New Roman" w:cs="Times New Roman"/>
                      <w:b/>
                      <w:color w:val="000000" w:themeColor="text1"/>
                      <w:sz w:val="21"/>
                      <w:szCs w:val="21"/>
                      <w14:textFill>
                        <w14:solidFill>
                          <w14:schemeClr w14:val="tx1"/>
                        </w14:solidFill>
                      </w14:textFill>
                    </w:rPr>
                    <w:t>）</w:t>
                  </w:r>
                </w:p>
              </w:tc>
              <w:tc>
                <w:tcPr>
                  <w:tcW w:w="1000" w:type="pct"/>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710"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1</w:t>
                  </w:r>
                </w:p>
              </w:tc>
              <w:tc>
                <w:tcPr>
                  <w:tcW w:w="818"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SO</w:t>
                  </w:r>
                  <w:r>
                    <w:rPr>
                      <w:rFonts w:hint="default" w:ascii="Times New Roman" w:hAnsi="Times New Roman" w:cs="Times New Roman"/>
                      <w:bCs/>
                      <w:color w:val="000000" w:themeColor="text1"/>
                      <w:sz w:val="21"/>
                      <w:szCs w:val="21"/>
                      <w:vertAlign w:val="subscript"/>
                      <w14:textFill>
                        <w14:solidFill>
                          <w14:schemeClr w14:val="tx1"/>
                        </w14:solidFill>
                      </w14:textFill>
                    </w:rPr>
                    <w:t>2</w:t>
                  </w:r>
                </w:p>
              </w:tc>
              <w:tc>
                <w:tcPr>
                  <w:tcW w:w="1467"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年平均</w:t>
                  </w:r>
                </w:p>
              </w:tc>
              <w:tc>
                <w:tcPr>
                  <w:tcW w:w="1003"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60</w:t>
                  </w:r>
                  <w:r>
                    <w:rPr>
                      <w:rFonts w:hint="default" w:ascii="Times New Roman" w:hAnsi="Times New Roman" w:cs="Times New Roman"/>
                      <w:color w:val="000000" w:themeColor="text1"/>
                      <w:sz w:val="21"/>
                      <w:szCs w:val="21"/>
                      <w14:textFill>
                        <w14:solidFill>
                          <w14:schemeClr w14:val="tx1"/>
                        </w14:solidFill>
                      </w14:textFill>
                    </w:rPr>
                    <w:t>μg/m</w:t>
                  </w:r>
                  <w:r>
                    <w:rPr>
                      <w:rFonts w:hint="default" w:ascii="Times New Roman" w:hAnsi="Times New Roman" w:cs="Times New Roman"/>
                      <w:color w:val="000000" w:themeColor="text1"/>
                      <w:sz w:val="21"/>
                      <w:szCs w:val="21"/>
                      <w:vertAlign w:val="superscript"/>
                      <w14:textFill>
                        <w14:solidFill>
                          <w14:schemeClr w14:val="tx1"/>
                        </w14:solidFill>
                      </w14:textFill>
                    </w:rPr>
                    <w:t>3</w:t>
                  </w:r>
                </w:p>
              </w:tc>
              <w:tc>
                <w:tcPr>
                  <w:tcW w:w="1000" w:type="pct"/>
                  <w:vMerge w:val="restart"/>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《环境空气质量标准》（GB3095-2012）中的二级标准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710"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2</w:t>
                  </w:r>
                </w:p>
              </w:tc>
              <w:tc>
                <w:tcPr>
                  <w:tcW w:w="818"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NO</w:t>
                  </w:r>
                  <w:r>
                    <w:rPr>
                      <w:rFonts w:hint="default" w:ascii="Times New Roman" w:hAnsi="Times New Roman" w:cs="Times New Roman"/>
                      <w:bCs/>
                      <w:color w:val="000000" w:themeColor="text1"/>
                      <w:sz w:val="21"/>
                      <w:szCs w:val="21"/>
                      <w:vertAlign w:val="subscript"/>
                      <w14:textFill>
                        <w14:solidFill>
                          <w14:schemeClr w14:val="tx1"/>
                        </w14:solidFill>
                      </w14:textFill>
                    </w:rPr>
                    <w:t>2</w:t>
                  </w:r>
                </w:p>
              </w:tc>
              <w:tc>
                <w:tcPr>
                  <w:tcW w:w="1467"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年平均</w:t>
                  </w:r>
                </w:p>
              </w:tc>
              <w:tc>
                <w:tcPr>
                  <w:tcW w:w="1003"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40</w:t>
                  </w:r>
                  <w:r>
                    <w:rPr>
                      <w:rFonts w:hint="default" w:ascii="Times New Roman" w:hAnsi="Times New Roman" w:cs="Times New Roman"/>
                      <w:color w:val="000000" w:themeColor="text1"/>
                      <w:sz w:val="21"/>
                      <w:szCs w:val="21"/>
                      <w14:textFill>
                        <w14:solidFill>
                          <w14:schemeClr w14:val="tx1"/>
                        </w14:solidFill>
                      </w14:textFill>
                    </w:rPr>
                    <w:t>μg/m</w:t>
                  </w:r>
                  <w:r>
                    <w:rPr>
                      <w:rFonts w:hint="default" w:ascii="Times New Roman" w:hAnsi="Times New Roman" w:cs="Times New Roman"/>
                      <w:color w:val="000000" w:themeColor="text1"/>
                      <w:sz w:val="21"/>
                      <w:szCs w:val="21"/>
                      <w:vertAlign w:val="superscript"/>
                      <w14:textFill>
                        <w14:solidFill>
                          <w14:schemeClr w14:val="tx1"/>
                        </w14:solidFill>
                      </w14:textFill>
                    </w:rPr>
                    <w:t>3</w:t>
                  </w:r>
                </w:p>
              </w:tc>
              <w:tc>
                <w:tcPr>
                  <w:tcW w:w="1000" w:type="pct"/>
                  <w:vMerge w:val="continue"/>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10"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3</w:t>
                  </w:r>
                </w:p>
              </w:tc>
              <w:tc>
                <w:tcPr>
                  <w:tcW w:w="818"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CO</w:t>
                  </w:r>
                </w:p>
              </w:tc>
              <w:tc>
                <w:tcPr>
                  <w:tcW w:w="1467"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24h平均</w:t>
                  </w:r>
                </w:p>
              </w:tc>
              <w:tc>
                <w:tcPr>
                  <w:tcW w:w="1003"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4</w:t>
                  </w:r>
                  <w:r>
                    <w:rPr>
                      <w:rFonts w:hint="default" w:ascii="Times New Roman" w:hAnsi="Times New Roman" w:cs="Times New Roman"/>
                      <w:color w:val="000000" w:themeColor="text1"/>
                      <w:sz w:val="21"/>
                      <w:szCs w:val="21"/>
                      <w14:textFill>
                        <w14:solidFill>
                          <w14:schemeClr w14:val="tx1"/>
                        </w14:solidFill>
                      </w14:textFill>
                    </w:rPr>
                    <w:t>mg/m</w:t>
                  </w:r>
                  <w:r>
                    <w:rPr>
                      <w:rFonts w:hint="default" w:ascii="Times New Roman" w:hAnsi="Times New Roman" w:cs="Times New Roman"/>
                      <w:color w:val="000000" w:themeColor="text1"/>
                      <w:sz w:val="21"/>
                      <w:szCs w:val="21"/>
                      <w:vertAlign w:val="superscript"/>
                      <w14:textFill>
                        <w14:solidFill>
                          <w14:schemeClr w14:val="tx1"/>
                        </w14:solidFill>
                      </w14:textFill>
                    </w:rPr>
                    <w:t>3</w:t>
                  </w:r>
                </w:p>
              </w:tc>
              <w:tc>
                <w:tcPr>
                  <w:tcW w:w="1000" w:type="pct"/>
                  <w:vMerge w:val="continue"/>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710"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4</w:t>
                  </w:r>
                </w:p>
              </w:tc>
              <w:tc>
                <w:tcPr>
                  <w:tcW w:w="818"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O</w:t>
                  </w:r>
                  <w:r>
                    <w:rPr>
                      <w:rFonts w:hint="default" w:ascii="Times New Roman" w:hAnsi="Times New Roman" w:cs="Times New Roman"/>
                      <w:bCs/>
                      <w:color w:val="000000" w:themeColor="text1"/>
                      <w:sz w:val="21"/>
                      <w:szCs w:val="21"/>
                      <w:vertAlign w:val="subscript"/>
                      <w14:textFill>
                        <w14:solidFill>
                          <w14:schemeClr w14:val="tx1"/>
                        </w14:solidFill>
                      </w14:textFill>
                    </w:rPr>
                    <w:t>3</w:t>
                  </w:r>
                </w:p>
              </w:tc>
              <w:tc>
                <w:tcPr>
                  <w:tcW w:w="1467" w:type="pct"/>
                  <w:noWrap w:val="0"/>
                  <w:vAlign w:val="center"/>
                </w:tcPr>
                <w:p>
                  <w:pPr>
                    <w:pStyle w:val="10"/>
                    <w:adjustRightInd w:val="0"/>
                    <w:snapToGrid w:val="0"/>
                    <w:jc w:val="center"/>
                    <w:rPr>
                      <w:rFonts w:hint="default" w:ascii="Times New Roman" w:hAnsi="Times New Roman" w:eastAsia="宋体" w:cs="Times New Roman"/>
                      <w:bCs/>
                      <w:color w:val="000000" w:themeColor="text1"/>
                      <w:kern w:val="2"/>
                      <w:sz w:val="21"/>
                      <w:szCs w:val="21"/>
                      <w:lang w:val="en-US" w:eastAsia="zh-CN" w:bidi="ar-SA"/>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日最大8h平均</w:t>
                  </w:r>
                </w:p>
              </w:tc>
              <w:tc>
                <w:tcPr>
                  <w:tcW w:w="1003" w:type="pct"/>
                  <w:noWrap w:val="0"/>
                  <w:vAlign w:val="center"/>
                </w:tcPr>
                <w:p>
                  <w:pPr>
                    <w:pStyle w:val="10"/>
                    <w:adjustRightInd w:val="0"/>
                    <w:snapToGrid w:val="0"/>
                    <w:jc w:val="center"/>
                    <w:rPr>
                      <w:rFonts w:hint="default" w:ascii="Times New Roman" w:hAnsi="Times New Roman" w:eastAsia="宋体" w:cs="Times New Roman"/>
                      <w:bCs/>
                      <w:color w:val="000000" w:themeColor="text1"/>
                      <w:kern w:val="2"/>
                      <w:sz w:val="21"/>
                      <w:szCs w:val="21"/>
                      <w:lang w:val="en-US" w:eastAsia="zh-CN" w:bidi="ar-SA"/>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160</w:t>
                  </w:r>
                  <w:r>
                    <w:rPr>
                      <w:rFonts w:hint="default" w:ascii="Times New Roman" w:hAnsi="Times New Roman" w:cs="Times New Roman"/>
                      <w:color w:val="000000" w:themeColor="text1"/>
                      <w:sz w:val="21"/>
                      <w:szCs w:val="21"/>
                      <w14:textFill>
                        <w14:solidFill>
                          <w14:schemeClr w14:val="tx1"/>
                        </w14:solidFill>
                      </w14:textFill>
                    </w:rPr>
                    <w:t>μg/m</w:t>
                  </w:r>
                  <w:r>
                    <w:rPr>
                      <w:rFonts w:hint="default" w:ascii="Times New Roman" w:hAnsi="Times New Roman" w:cs="Times New Roman"/>
                      <w:color w:val="000000" w:themeColor="text1"/>
                      <w:sz w:val="21"/>
                      <w:szCs w:val="21"/>
                      <w:vertAlign w:val="superscript"/>
                      <w14:textFill>
                        <w14:solidFill>
                          <w14:schemeClr w14:val="tx1"/>
                        </w14:solidFill>
                      </w14:textFill>
                    </w:rPr>
                    <w:t>3</w:t>
                  </w:r>
                </w:p>
              </w:tc>
              <w:tc>
                <w:tcPr>
                  <w:tcW w:w="1000" w:type="pct"/>
                  <w:vMerge w:val="continue"/>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10"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5</w:t>
                  </w:r>
                </w:p>
              </w:tc>
              <w:tc>
                <w:tcPr>
                  <w:tcW w:w="818"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PM</w:t>
                  </w:r>
                  <w:r>
                    <w:rPr>
                      <w:rFonts w:hint="default" w:ascii="Times New Roman" w:hAnsi="Times New Roman" w:cs="Times New Roman"/>
                      <w:bCs/>
                      <w:color w:val="000000" w:themeColor="text1"/>
                      <w:sz w:val="21"/>
                      <w:szCs w:val="21"/>
                      <w:vertAlign w:val="subscript"/>
                      <w14:textFill>
                        <w14:solidFill>
                          <w14:schemeClr w14:val="tx1"/>
                        </w14:solidFill>
                      </w14:textFill>
                    </w:rPr>
                    <w:t>10</w:t>
                  </w:r>
                </w:p>
              </w:tc>
              <w:tc>
                <w:tcPr>
                  <w:tcW w:w="1467" w:type="pct"/>
                  <w:noWrap w:val="0"/>
                  <w:vAlign w:val="center"/>
                </w:tcPr>
                <w:p>
                  <w:pPr>
                    <w:pStyle w:val="10"/>
                    <w:adjustRightInd w:val="0"/>
                    <w:snapToGrid w:val="0"/>
                    <w:jc w:val="center"/>
                    <w:rPr>
                      <w:rFonts w:hint="default" w:ascii="Times New Roman" w:hAnsi="Times New Roman" w:eastAsia="宋体" w:cs="Times New Roman"/>
                      <w:bCs/>
                      <w:color w:val="000000" w:themeColor="text1"/>
                      <w:kern w:val="2"/>
                      <w:sz w:val="21"/>
                      <w:szCs w:val="21"/>
                      <w:lang w:val="en-US" w:eastAsia="zh-CN" w:bidi="ar-SA"/>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年平均</w:t>
                  </w:r>
                </w:p>
              </w:tc>
              <w:tc>
                <w:tcPr>
                  <w:tcW w:w="1003" w:type="pct"/>
                  <w:noWrap w:val="0"/>
                  <w:vAlign w:val="center"/>
                </w:tcPr>
                <w:p>
                  <w:pPr>
                    <w:pStyle w:val="10"/>
                    <w:adjustRightInd w:val="0"/>
                    <w:snapToGrid w:val="0"/>
                    <w:jc w:val="center"/>
                    <w:rPr>
                      <w:rFonts w:hint="default" w:ascii="Times New Roman" w:hAnsi="Times New Roman" w:eastAsia="宋体" w:cs="Times New Roman"/>
                      <w:bCs/>
                      <w:color w:val="000000" w:themeColor="text1"/>
                      <w:kern w:val="2"/>
                      <w:sz w:val="21"/>
                      <w:szCs w:val="21"/>
                      <w:lang w:val="en-US" w:eastAsia="zh-CN" w:bidi="ar-SA"/>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70</w:t>
                  </w:r>
                  <w:r>
                    <w:rPr>
                      <w:rFonts w:hint="default" w:ascii="Times New Roman" w:hAnsi="Times New Roman" w:cs="Times New Roman"/>
                      <w:color w:val="000000" w:themeColor="text1"/>
                      <w:sz w:val="21"/>
                      <w:szCs w:val="21"/>
                      <w14:textFill>
                        <w14:solidFill>
                          <w14:schemeClr w14:val="tx1"/>
                        </w14:solidFill>
                      </w14:textFill>
                    </w:rPr>
                    <w:t>μg/m</w:t>
                  </w:r>
                  <w:r>
                    <w:rPr>
                      <w:rFonts w:hint="default" w:ascii="Times New Roman" w:hAnsi="Times New Roman" w:cs="Times New Roman"/>
                      <w:color w:val="000000" w:themeColor="text1"/>
                      <w:sz w:val="21"/>
                      <w:szCs w:val="21"/>
                      <w:vertAlign w:val="superscript"/>
                      <w14:textFill>
                        <w14:solidFill>
                          <w14:schemeClr w14:val="tx1"/>
                        </w14:solidFill>
                      </w14:textFill>
                    </w:rPr>
                    <w:t>3</w:t>
                  </w:r>
                </w:p>
              </w:tc>
              <w:tc>
                <w:tcPr>
                  <w:tcW w:w="1000" w:type="pct"/>
                  <w:vMerge w:val="continue"/>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710"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6</w:t>
                  </w:r>
                </w:p>
              </w:tc>
              <w:tc>
                <w:tcPr>
                  <w:tcW w:w="818"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PM</w:t>
                  </w:r>
                  <w:r>
                    <w:rPr>
                      <w:rFonts w:hint="default" w:ascii="Times New Roman" w:hAnsi="Times New Roman" w:cs="Times New Roman"/>
                      <w:bCs/>
                      <w:color w:val="000000" w:themeColor="text1"/>
                      <w:sz w:val="21"/>
                      <w:szCs w:val="21"/>
                      <w:vertAlign w:val="subscript"/>
                      <w14:textFill>
                        <w14:solidFill>
                          <w14:schemeClr w14:val="tx1"/>
                        </w14:solidFill>
                      </w14:textFill>
                    </w:rPr>
                    <w:t>2.5</w:t>
                  </w:r>
                </w:p>
              </w:tc>
              <w:tc>
                <w:tcPr>
                  <w:tcW w:w="1467"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年平均</w:t>
                  </w:r>
                </w:p>
              </w:tc>
              <w:tc>
                <w:tcPr>
                  <w:tcW w:w="1003" w:type="pct"/>
                  <w:noWrap w:val="0"/>
                  <w:vAlign w:val="center"/>
                </w:tcPr>
                <w:p>
                  <w:pPr>
                    <w:pStyle w:val="10"/>
                    <w:adjustRightInd w:val="0"/>
                    <w:snapToGrid w:val="0"/>
                    <w:jc w:val="center"/>
                    <w:rPr>
                      <w:rFonts w:hint="default" w:ascii="Times New Roman" w:hAnsi="Times New Roman" w:cs="Times New Roman"/>
                      <w:bCs/>
                      <w:color w:val="000000" w:themeColor="text1"/>
                      <w:sz w:val="21"/>
                      <w:szCs w:val="21"/>
                      <w14:textFill>
                        <w14:solidFill>
                          <w14:schemeClr w14:val="tx1"/>
                        </w14:solidFill>
                      </w14:textFill>
                    </w:rPr>
                  </w:pPr>
                  <w:r>
                    <w:rPr>
                      <w:rFonts w:hint="default" w:ascii="Times New Roman" w:hAnsi="Times New Roman" w:cs="Times New Roman"/>
                      <w:bCs/>
                      <w:color w:val="000000" w:themeColor="text1"/>
                      <w:sz w:val="21"/>
                      <w:szCs w:val="21"/>
                      <w14:textFill>
                        <w14:solidFill>
                          <w14:schemeClr w14:val="tx1"/>
                        </w14:solidFill>
                      </w14:textFill>
                    </w:rPr>
                    <w:t>35</w:t>
                  </w:r>
                  <w:r>
                    <w:rPr>
                      <w:rFonts w:hint="default" w:ascii="Times New Roman" w:hAnsi="Times New Roman" w:cs="Times New Roman"/>
                      <w:color w:val="000000" w:themeColor="text1"/>
                      <w:sz w:val="21"/>
                      <w:szCs w:val="21"/>
                      <w14:textFill>
                        <w14:solidFill>
                          <w14:schemeClr w14:val="tx1"/>
                        </w14:solidFill>
                      </w14:textFill>
                    </w:rPr>
                    <w:t>μg/m</w:t>
                  </w:r>
                  <w:r>
                    <w:rPr>
                      <w:rFonts w:hint="default" w:ascii="Times New Roman" w:hAnsi="Times New Roman" w:cs="Times New Roman"/>
                      <w:color w:val="000000" w:themeColor="text1"/>
                      <w:sz w:val="21"/>
                      <w:szCs w:val="21"/>
                      <w:vertAlign w:val="superscript"/>
                      <w14:textFill>
                        <w14:solidFill>
                          <w14:schemeClr w14:val="tx1"/>
                        </w14:solidFill>
                      </w14:textFill>
                    </w:rPr>
                    <w:t>3</w:t>
                  </w:r>
                </w:p>
              </w:tc>
              <w:tc>
                <w:tcPr>
                  <w:tcW w:w="1000" w:type="pct"/>
                  <w:vMerge w:val="continue"/>
                  <w:noWrap w:val="0"/>
                  <w:vAlign w:val="center"/>
                </w:tcPr>
                <w:p>
                  <w:pPr>
                    <w:pStyle w:val="10"/>
                    <w:adjustRightInd w:val="0"/>
                    <w:snapToGrid w:val="0"/>
                    <w:jc w:val="center"/>
                    <w:rPr>
                      <w:rFonts w:hint="default" w:ascii="Times New Roman" w:hAnsi="Times New Roman" w:cs="Times New Roman"/>
                      <w:b/>
                      <w:color w:val="000000" w:themeColor="text1"/>
                      <w:sz w:val="21"/>
                      <w:szCs w:val="21"/>
                      <w14:textFill>
                        <w14:solidFill>
                          <w14:schemeClr w14:val="tx1"/>
                        </w14:solidFill>
                      </w14:textFill>
                    </w:rPr>
                  </w:pPr>
                </w:p>
              </w:tc>
            </w:tr>
          </w:tbl>
          <w:p>
            <w:pPr>
              <w:pStyle w:val="10"/>
              <w:adjustRightInd w:val="0"/>
              <w:snapToGrid w:val="0"/>
              <w:ind w:firstLine="422"/>
              <w:jc w:val="center"/>
              <w:rPr>
                <w:rFonts w:hint="default" w:ascii="Times New Roman" w:hAnsi="Times New Roman" w:cs="Times New Roman"/>
                <w:b/>
                <w:color w:val="000000" w:themeColor="text1"/>
                <w:sz w:val="21"/>
                <w14:textFill>
                  <w14:solidFill>
                    <w14:schemeClr w14:val="tx1"/>
                  </w14:solidFill>
                </w14:textFill>
              </w:rPr>
            </w:pPr>
          </w:p>
          <w:p>
            <w:pPr>
              <w:spacing w:line="360" w:lineRule="auto"/>
              <w:ind w:firstLine="482" w:firstLineChars="200"/>
              <w:rPr>
                <w:rFonts w:hint="default" w:ascii="Times New Roman" w:hAnsi="Times New Roman" w:cs="Times New Roman"/>
                <w:b/>
                <w:bCs/>
                <w:color w:val="000000" w:themeColor="text1"/>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1.2</w:t>
            </w:r>
            <w:r>
              <w:rPr>
                <w:rFonts w:hint="default" w:ascii="Times New Roman" w:hAnsi="Times New Roman" w:cs="Times New Roman"/>
                <w:b/>
                <w:bCs/>
                <w:color w:val="000000" w:themeColor="text1"/>
                <w14:textFill>
                  <w14:solidFill>
                    <w14:schemeClr w14:val="tx1"/>
                  </w14:solidFill>
                </w14:textFill>
              </w:rPr>
              <w:t>评价方法</w:t>
            </w:r>
          </w:p>
          <w:p>
            <w:pPr>
              <w:ind w:firstLine="480" w:firstLineChars="200"/>
              <w:rPr>
                <w:rFonts w:hint="default" w:ascii="Times New Roman" w:hAnsi="Times New Roman" w:eastAsia="宋体" w:cs="Times New Roman"/>
                <w:color w:val="000000" w:themeColor="text1"/>
                <w:sz w:val="24"/>
                <w:szCs w:val="24"/>
                <w:lang w:val="en-US"/>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基础污染物按照《环境空气质量评价技术规范（试行）》（</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HJ663-2013</w:t>
            </w:r>
            <w:r>
              <w:rPr>
                <w:rFonts w:hint="default" w:ascii="Times New Roman" w:hAnsi="Times New Roman" w:eastAsia="宋体" w:cs="Times New Roman"/>
                <w:color w:val="000000" w:themeColor="text1"/>
                <w:sz w:val="24"/>
                <w:szCs w:val="24"/>
                <w:lang w:eastAsia="zh-CN"/>
                <w14:textFill>
                  <w14:solidFill>
                    <w14:schemeClr w14:val="tx1"/>
                  </w14:solidFill>
                </w14:textFill>
              </w:rPr>
              <w:t>）中各评价项目</w:t>
            </w:r>
            <w:r>
              <w:rPr>
                <w:rFonts w:hint="default" w:ascii="Times New Roman" w:hAnsi="Times New Roman" w:cs="Times New Roman"/>
                <w:color w:val="000000" w:themeColor="text1"/>
                <w:kern w:val="0"/>
                <w14:textFill>
                  <w14:solidFill>
                    <w14:schemeClr w14:val="tx1"/>
                  </w14:solidFill>
                </w14:textFill>
              </w:rPr>
              <w:t>SO</w:t>
            </w:r>
            <w:r>
              <w:rPr>
                <w:rFonts w:hint="default" w:ascii="Times New Roman" w:hAnsi="Times New Roman" w:cs="Times New Roman"/>
                <w:color w:val="000000" w:themeColor="text1"/>
                <w:kern w:val="0"/>
                <w:vertAlign w:val="subscript"/>
                <w14:textFill>
                  <w14:solidFill>
                    <w14:schemeClr w14:val="tx1"/>
                  </w14:solidFill>
                </w14:textFill>
              </w:rPr>
              <w:t>2</w:t>
            </w:r>
            <w:r>
              <w:rPr>
                <w:rFonts w:hint="default" w:ascii="Times New Roman" w:hAnsi="Times New Roman" w:cs="Times New Roman"/>
                <w:color w:val="000000" w:themeColor="text1"/>
                <w:kern w:val="0"/>
                <w14:textFill>
                  <w14:solidFill>
                    <w14:schemeClr w14:val="tx1"/>
                  </w14:solidFill>
                </w14:textFill>
              </w:rPr>
              <w:t>、NO</w:t>
            </w:r>
            <w:r>
              <w:rPr>
                <w:rFonts w:hint="default" w:ascii="Times New Roman" w:hAnsi="Times New Roman" w:cs="Times New Roman"/>
                <w:color w:val="000000" w:themeColor="text1"/>
                <w:kern w:val="0"/>
                <w:vertAlign w:val="subscript"/>
                <w14:textFill>
                  <w14:solidFill>
                    <w14:schemeClr w14:val="tx1"/>
                  </w14:solidFill>
                </w14:textFill>
              </w:rPr>
              <w:t>2</w:t>
            </w:r>
            <w:r>
              <w:rPr>
                <w:rFonts w:hint="default" w:ascii="Times New Roman" w:hAnsi="Times New Roman" w:cs="Times New Roman"/>
                <w:color w:val="000000" w:themeColor="text1"/>
                <w:kern w:val="0"/>
                <w14:textFill>
                  <w14:solidFill>
                    <w14:schemeClr w14:val="tx1"/>
                  </w14:solidFill>
                </w14:textFill>
              </w:rPr>
              <w:t>、PM</w:t>
            </w:r>
            <w:r>
              <w:rPr>
                <w:rFonts w:hint="default" w:ascii="Times New Roman" w:hAnsi="Times New Roman" w:cs="Times New Roman"/>
                <w:color w:val="000000" w:themeColor="text1"/>
                <w:kern w:val="0"/>
                <w:vertAlign w:val="subscript"/>
                <w14:textFill>
                  <w14:solidFill>
                    <w14:schemeClr w14:val="tx1"/>
                  </w14:solidFill>
                </w14:textFill>
              </w:rPr>
              <w:t>2.5</w:t>
            </w:r>
            <w:r>
              <w:rPr>
                <w:rFonts w:hint="default" w:ascii="Times New Roman" w:hAnsi="Times New Roman" w:cs="Times New Roman"/>
                <w:color w:val="000000" w:themeColor="text1"/>
                <w:kern w:val="0"/>
                <w14:textFill>
                  <w14:solidFill>
                    <w14:schemeClr w14:val="tx1"/>
                  </w14:solidFill>
                </w14:textFill>
              </w:rPr>
              <w:t>、PM</w:t>
            </w:r>
            <w:r>
              <w:rPr>
                <w:rFonts w:hint="default" w:ascii="Times New Roman" w:hAnsi="Times New Roman" w:cs="Times New Roman"/>
                <w:color w:val="000000" w:themeColor="text1"/>
                <w:kern w:val="0"/>
                <w:vertAlign w:val="subscript"/>
                <w14:textFill>
                  <w14:solidFill>
                    <w14:schemeClr w14:val="tx1"/>
                  </w14:solidFill>
                </w14:textFill>
              </w:rPr>
              <w:t>10</w:t>
            </w:r>
            <w:r>
              <w:rPr>
                <w:rFonts w:hint="default" w:ascii="Times New Roman" w:hAnsi="Times New Roman" w:cs="Times New Roman"/>
                <w:color w:val="000000" w:themeColor="text1"/>
                <w:kern w:val="0"/>
                <w14:textFill>
                  <w14:solidFill>
                    <w14:schemeClr w14:val="tx1"/>
                  </w14:solidFill>
                </w14:textFill>
              </w:rPr>
              <w:t>、CO和O</w:t>
            </w:r>
            <w:r>
              <w:rPr>
                <w:rFonts w:hint="eastAsia" w:cs="Times New Roman"/>
                <w:color w:val="000000" w:themeColor="text1"/>
                <w:kern w:val="0"/>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的年评价指标进行判定。年评价指标中的年均浓度和相应百分位数</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24h平均或8h平均质量浓度满足《环境空气质量标准》（GB3095-2012）中二级标准浓度限值要求的即为达标。对于超标的污染物，计算其超标倍数和超标率。</w:t>
            </w:r>
          </w:p>
          <w:p>
            <w:pPr>
              <w:spacing w:line="360" w:lineRule="auto"/>
              <w:ind w:firstLine="482" w:firstLineChars="200"/>
              <w:rPr>
                <w:rFonts w:hint="default" w:ascii="Times New Roman" w:hAnsi="Times New Roman" w:cs="Times New Roman"/>
                <w:b/>
                <w:bCs/>
                <w:color w:val="000000" w:themeColor="text1"/>
                <w:lang w:val="en-US" w:eastAsia="zh-CN"/>
                <w14:textFill>
                  <w14:solidFill>
                    <w14:schemeClr w14:val="tx1"/>
                  </w14:solidFill>
                </w14:textFill>
              </w:rPr>
            </w:pPr>
            <w:r>
              <w:rPr>
                <w:rFonts w:hint="default" w:ascii="Times New Roman" w:hAnsi="Times New Roman" w:cs="Times New Roman"/>
                <w:b/>
                <w:bCs/>
                <w:color w:val="000000" w:themeColor="text1"/>
                <w:lang w:val="en-US" w:eastAsia="zh-CN"/>
                <w14:textFill>
                  <w14:solidFill>
                    <w14:schemeClr w14:val="tx1"/>
                  </w14:solidFill>
                </w14:textFill>
              </w:rPr>
              <w:t>1.3空气质量达标区判定</w:t>
            </w:r>
          </w:p>
          <w:p>
            <w:pPr>
              <w:numPr>
                <w:ilvl w:val="0"/>
                <w:numId w:val="0"/>
              </w:numPr>
              <w:ind w:firstLine="480" w:firstLineChars="200"/>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昌吉市</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2018年空气质量达标区判定结果见表</w:t>
            </w:r>
            <w:r>
              <w:rPr>
                <w:rFonts w:hint="eastAsia" w:cs="Times New Roman"/>
                <w:color w:val="000000" w:themeColor="text1"/>
                <w:sz w:val="24"/>
                <w:szCs w:val="24"/>
                <w:lang w:val="en-US" w:eastAsia="zh-CN"/>
                <w14:textFill>
                  <w14:solidFill>
                    <w14:schemeClr w14:val="tx1"/>
                  </w14:solidFill>
                </w14:textFill>
              </w:rPr>
              <w:t>1.3-1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p>
          <w:p>
            <w:pPr>
              <w:pStyle w:val="10"/>
              <w:adjustRightInd w:val="0"/>
              <w:snapToGrid w:val="0"/>
              <w:ind w:firstLine="422"/>
              <w:jc w:val="center"/>
              <w:rPr>
                <w:rFonts w:hint="default" w:ascii="Times New Roman" w:hAnsi="Times New Roman" w:cs="Times New Roman"/>
                <w:b/>
                <w:color w:val="000000" w:themeColor="text1"/>
                <w:sz w:val="21"/>
                <w:lang w:val="en-US" w:eastAsia="zh-CN"/>
                <w14:textFill>
                  <w14:solidFill>
                    <w14:schemeClr w14:val="tx1"/>
                  </w14:solidFill>
                </w14:textFill>
              </w:rPr>
            </w:pPr>
            <w:r>
              <w:rPr>
                <w:rFonts w:hint="default" w:ascii="Times New Roman" w:hAnsi="Times New Roman" w:cs="Times New Roman"/>
                <w:b/>
                <w:color w:val="000000" w:themeColor="text1"/>
                <w:sz w:val="21"/>
                <w:lang w:val="en-US" w:eastAsia="zh-CN"/>
                <w14:textFill>
                  <w14:solidFill>
                    <w14:schemeClr w14:val="tx1"/>
                  </w14:solidFill>
                </w14:textFill>
              </w:rPr>
              <w:t>表</w:t>
            </w:r>
            <w:r>
              <w:rPr>
                <w:rFonts w:hint="eastAsia" w:cs="Times New Roman"/>
                <w:b/>
                <w:color w:val="000000" w:themeColor="text1"/>
                <w:sz w:val="21"/>
                <w:lang w:val="en-US" w:eastAsia="zh-CN"/>
                <w14:textFill>
                  <w14:solidFill>
                    <w14:schemeClr w14:val="tx1"/>
                  </w14:solidFill>
                </w14:textFill>
              </w:rPr>
              <w:t xml:space="preserve">1.3-1  </w:t>
            </w:r>
            <w:r>
              <w:rPr>
                <w:rFonts w:hint="default" w:ascii="Times New Roman" w:hAnsi="Times New Roman" w:cs="Times New Roman"/>
                <w:b/>
                <w:color w:val="000000" w:themeColor="text1"/>
                <w:sz w:val="21"/>
                <w:lang w:val="en-US" w:eastAsia="zh-CN"/>
                <w14:textFill>
                  <w14:solidFill>
                    <w14:schemeClr w14:val="tx1"/>
                  </w14:solidFill>
                </w14:textFill>
              </w:rPr>
              <w:t xml:space="preserve">  昌吉市2018年空气质量达标区判定结果表</w:t>
            </w:r>
          </w:p>
          <w:tbl>
            <w:tblPr>
              <w:tblStyle w:val="1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2322"/>
              <w:gridCol w:w="1708"/>
              <w:gridCol w:w="1637"/>
              <w:gridCol w:w="1488"/>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pPr>
                    <w:pStyle w:val="2"/>
                    <w:pBdr>
                      <w:bottom w:val="none" w:color="auto" w:sz="0" w:space="0"/>
                    </w:pBd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评价因子</w:t>
                  </w:r>
                </w:p>
              </w:tc>
              <w:tc>
                <w:tcPr>
                  <w:tcW w:w="1216" w:type="pct"/>
                </w:tcPr>
                <w:p>
                  <w:pPr>
                    <w:pStyle w:val="2"/>
                    <w:pBdr>
                      <w:bottom w:val="none" w:color="auto" w:sz="0" w:space="0"/>
                    </w:pBd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年评价指标</w:t>
                  </w:r>
                </w:p>
              </w:tc>
              <w:tc>
                <w:tcPr>
                  <w:tcW w:w="894" w:type="pct"/>
                </w:tcPr>
                <w:p>
                  <w:pPr>
                    <w:pStyle w:val="2"/>
                    <w:pBdr>
                      <w:bottom w:val="none" w:color="auto" w:sz="0" w:space="0"/>
                    </w:pBd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现状浓度</w:t>
                  </w:r>
                  <w:r>
                    <w:rPr>
                      <w:rFonts w:hint="default" w:ascii="Times New Roman" w:hAnsi="Times New Roman" w:cs="Times New Roman"/>
                      <w:b/>
                      <w:bCs/>
                      <w:color w:val="000000" w:themeColor="text1"/>
                      <w:sz w:val="21"/>
                      <w:szCs w:val="21"/>
                      <w14:textFill>
                        <w14:solidFill>
                          <w14:schemeClr w14:val="tx1"/>
                        </w14:solidFill>
                      </w14:textFill>
                    </w:rPr>
                    <w:t>ug/m</w:t>
                  </w:r>
                  <w:r>
                    <w:rPr>
                      <w:rFonts w:hint="default" w:ascii="Times New Roman" w:hAnsi="Times New Roman" w:cs="Times New Roman"/>
                      <w:b/>
                      <w:bCs/>
                      <w:color w:val="000000" w:themeColor="text1"/>
                      <w:sz w:val="21"/>
                      <w:szCs w:val="21"/>
                      <w:vertAlign w:val="superscript"/>
                      <w14:textFill>
                        <w14:solidFill>
                          <w14:schemeClr w14:val="tx1"/>
                        </w14:solidFill>
                      </w14:textFill>
                    </w:rPr>
                    <w:t>3</w:t>
                  </w:r>
                </w:p>
              </w:tc>
              <w:tc>
                <w:tcPr>
                  <w:tcW w:w="857" w:type="pct"/>
                </w:tcPr>
                <w:p>
                  <w:pPr>
                    <w:pStyle w:val="2"/>
                    <w:pBdr>
                      <w:bottom w:val="none" w:color="auto" w:sz="0" w:space="0"/>
                    </w:pBd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评价标准</w:t>
                  </w:r>
                  <w:r>
                    <w:rPr>
                      <w:rFonts w:hint="default" w:ascii="Times New Roman" w:hAnsi="Times New Roman" w:cs="Times New Roman"/>
                      <w:b/>
                      <w:bCs/>
                      <w:color w:val="000000" w:themeColor="text1"/>
                      <w:sz w:val="21"/>
                      <w:szCs w:val="21"/>
                      <w14:textFill>
                        <w14:solidFill>
                          <w14:schemeClr w14:val="tx1"/>
                        </w14:solidFill>
                      </w14:textFill>
                    </w:rPr>
                    <w:t>ug/m</w:t>
                  </w:r>
                  <w:r>
                    <w:rPr>
                      <w:rFonts w:hint="default" w:ascii="Times New Roman" w:hAnsi="Times New Roman" w:cs="Times New Roman"/>
                      <w:b/>
                      <w:bCs/>
                      <w:color w:val="000000" w:themeColor="text1"/>
                      <w:sz w:val="21"/>
                      <w:szCs w:val="21"/>
                      <w:vertAlign w:val="superscript"/>
                      <w14:textFill>
                        <w14:solidFill>
                          <w14:schemeClr w14:val="tx1"/>
                        </w14:solidFill>
                      </w14:textFill>
                    </w:rPr>
                    <w:t>3</w:t>
                  </w:r>
                </w:p>
              </w:tc>
              <w:tc>
                <w:tcPr>
                  <w:tcW w:w="779" w:type="pct"/>
                </w:tcPr>
                <w:p>
                  <w:pPr>
                    <w:pStyle w:val="2"/>
                    <w:pBdr>
                      <w:bottom w:val="none" w:color="auto" w:sz="0" w:space="0"/>
                    </w:pBd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占标率%</w:t>
                  </w:r>
                </w:p>
              </w:tc>
              <w:tc>
                <w:tcPr>
                  <w:tcW w:w="694" w:type="pct"/>
                </w:tcPr>
                <w:p>
                  <w:pPr>
                    <w:pStyle w:val="2"/>
                    <w:pBdr>
                      <w:bottom w:val="none" w:color="auto" w:sz="0" w:space="0"/>
                    </w:pBd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vertAlign w:val="baseline"/>
                      <w:lang w:val="en-US" w:eastAsia="zh-CN"/>
                      <w14:textFill>
                        <w14:solidFill>
                          <w14:schemeClr w14:val="tx1"/>
                        </w14:solidFill>
                      </w14:textFill>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SO</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2</w:t>
                  </w:r>
                </w:p>
              </w:tc>
              <w:tc>
                <w:tcPr>
                  <w:tcW w:w="1216"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年平均</w:t>
                  </w:r>
                </w:p>
              </w:tc>
              <w:tc>
                <w:tcPr>
                  <w:tcW w:w="894" w:type="pct"/>
                </w:tcPr>
                <w:p>
                  <w:pPr>
                    <w:pStyle w:val="2"/>
                    <w:pBdr>
                      <w:bottom w:val="none" w:color="auto" w:sz="0" w:space="0"/>
                    </w:pBd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15</w:t>
                  </w:r>
                </w:p>
              </w:tc>
              <w:tc>
                <w:tcPr>
                  <w:tcW w:w="857" w:type="pct"/>
                </w:tcPr>
                <w:p>
                  <w:pPr>
                    <w:pStyle w:val="2"/>
                    <w:pBdr>
                      <w:bottom w:val="none" w:color="auto" w:sz="0" w:space="0"/>
                    </w:pBd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60</w:t>
                  </w:r>
                </w:p>
              </w:tc>
              <w:tc>
                <w:tcPr>
                  <w:tcW w:w="779"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0.250</w:t>
                  </w:r>
                </w:p>
              </w:tc>
              <w:tc>
                <w:tcPr>
                  <w:tcW w:w="6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NO</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2</w:t>
                  </w:r>
                </w:p>
              </w:tc>
              <w:tc>
                <w:tcPr>
                  <w:tcW w:w="1216"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年平均</w:t>
                  </w:r>
                </w:p>
              </w:tc>
              <w:tc>
                <w:tcPr>
                  <w:tcW w:w="894" w:type="pct"/>
                </w:tcPr>
                <w:p>
                  <w:pPr>
                    <w:pStyle w:val="2"/>
                    <w:pBdr>
                      <w:bottom w:val="none" w:color="auto" w:sz="0" w:space="0"/>
                    </w:pBd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44</w:t>
                  </w:r>
                </w:p>
              </w:tc>
              <w:tc>
                <w:tcPr>
                  <w:tcW w:w="857" w:type="pct"/>
                </w:tcPr>
                <w:p>
                  <w:pPr>
                    <w:pStyle w:val="2"/>
                    <w:pBdr>
                      <w:bottom w:val="none" w:color="auto" w:sz="0" w:space="0"/>
                    </w:pBd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40</w:t>
                  </w:r>
                </w:p>
              </w:tc>
              <w:tc>
                <w:tcPr>
                  <w:tcW w:w="779"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1.100</w:t>
                  </w:r>
                </w:p>
              </w:tc>
              <w:tc>
                <w:tcPr>
                  <w:tcW w:w="6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CO</w:t>
                  </w:r>
                </w:p>
              </w:tc>
              <w:tc>
                <w:tcPr>
                  <w:tcW w:w="1216"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日平均第95百分位数</w:t>
                  </w:r>
                </w:p>
              </w:tc>
              <w:tc>
                <w:tcPr>
                  <w:tcW w:w="894" w:type="pct"/>
                </w:tcPr>
                <w:p>
                  <w:pPr>
                    <w:pStyle w:val="2"/>
                    <w:pBdr>
                      <w:bottom w:val="none" w:color="auto" w:sz="0" w:space="0"/>
                    </w:pBd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1.2m</w:t>
                  </w:r>
                  <w:r>
                    <w:rPr>
                      <w:rFonts w:hint="default" w:ascii="Times New Roman" w:hAnsi="Times New Roman" w:cs="Times New Roman"/>
                      <w:b w:val="0"/>
                      <w:bCs w:val="0"/>
                      <w:color w:val="000000" w:themeColor="text1"/>
                      <w:sz w:val="21"/>
                      <w:szCs w:val="21"/>
                      <w14:textFill>
                        <w14:solidFill>
                          <w14:schemeClr w14:val="tx1"/>
                        </w14:solidFill>
                      </w14:textFill>
                    </w:rPr>
                    <w:t>g/m</w:t>
                  </w:r>
                  <w:r>
                    <w:rPr>
                      <w:rFonts w:hint="default" w:ascii="Times New Roman" w:hAnsi="Times New Roman" w:cs="Times New Roman"/>
                      <w:b w:val="0"/>
                      <w:bCs w:val="0"/>
                      <w:color w:val="000000" w:themeColor="text1"/>
                      <w:sz w:val="21"/>
                      <w:szCs w:val="21"/>
                      <w:vertAlign w:val="superscript"/>
                      <w14:textFill>
                        <w14:solidFill>
                          <w14:schemeClr w14:val="tx1"/>
                        </w14:solidFill>
                      </w14:textFill>
                    </w:rPr>
                    <w:t>3</w:t>
                  </w:r>
                </w:p>
              </w:tc>
              <w:tc>
                <w:tcPr>
                  <w:tcW w:w="857" w:type="pct"/>
                </w:tcPr>
                <w:p>
                  <w:pPr>
                    <w:pStyle w:val="2"/>
                    <w:pBdr>
                      <w:bottom w:val="none" w:color="auto" w:sz="0" w:space="0"/>
                    </w:pBd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4m</w:t>
                  </w:r>
                  <w:r>
                    <w:rPr>
                      <w:rFonts w:hint="default" w:ascii="Times New Roman" w:hAnsi="Times New Roman" w:cs="Times New Roman"/>
                      <w:b w:val="0"/>
                      <w:bCs w:val="0"/>
                      <w:color w:val="000000" w:themeColor="text1"/>
                      <w:sz w:val="21"/>
                      <w:szCs w:val="21"/>
                      <w14:textFill>
                        <w14:solidFill>
                          <w14:schemeClr w14:val="tx1"/>
                        </w14:solidFill>
                      </w14:textFill>
                    </w:rPr>
                    <w:t>g/m</w:t>
                  </w:r>
                  <w:r>
                    <w:rPr>
                      <w:rFonts w:hint="default" w:ascii="Times New Roman" w:hAnsi="Times New Roman" w:cs="Times New Roman"/>
                      <w:b w:val="0"/>
                      <w:bCs w:val="0"/>
                      <w:color w:val="000000" w:themeColor="text1"/>
                      <w:sz w:val="21"/>
                      <w:szCs w:val="21"/>
                      <w:vertAlign w:val="superscript"/>
                      <w14:textFill>
                        <w14:solidFill>
                          <w14:schemeClr w14:val="tx1"/>
                        </w14:solidFill>
                      </w14:textFill>
                    </w:rPr>
                    <w:t>3</w:t>
                  </w:r>
                </w:p>
              </w:tc>
              <w:tc>
                <w:tcPr>
                  <w:tcW w:w="779"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0.300</w:t>
                  </w:r>
                </w:p>
              </w:tc>
              <w:tc>
                <w:tcPr>
                  <w:tcW w:w="6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O</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3</w:t>
                  </w:r>
                </w:p>
              </w:tc>
              <w:tc>
                <w:tcPr>
                  <w:tcW w:w="1216"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日平均第90百分位数</w:t>
                  </w:r>
                </w:p>
              </w:tc>
              <w:tc>
                <w:tcPr>
                  <w:tcW w:w="8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84</w:t>
                  </w:r>
                </w:p>
              </w:tc>
              <w:tc>
                <w:tcPr>
                  <w:tcW w:w="8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160</w:t>
                  </w:r>
                </w:p>
              </w:tc>
              <w:tc>
                <w:tcPr>
                  <w:tcW w:w="779"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0.525</w:t>
                  </w:r>
                </w:p>
              </w:tc>
              <w:tc>
                <w:tcPr>
                  <w:tcW w:w="6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PM</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10</w:t>
                  </w:r>
                </w:p>
              </w:tc>
              <w:tc>
                <w:tcPr>
                  <w:tcW w:w="1216"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年平均</w:t>
                  </w:r>
                </w:p>
              </w:tc>
              <w:tc>
                <w:tcPr>
                  <w:tcW w:w="8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105</w:t>
                  </w:r>
                </w:p>
              </w:tc>
              <w:tc>
                <w:tcPr>
                  <w:tcW w:w="8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70</w:t>
                  </w:r>
                </w:p>
              </w:tc>
              <w:tc>
                <w:tcPr>
                  <w:tcW w:w="779"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1.500</w:t>
                  </w:r>
                </w:p>
              </w:tc>
              <w:tc>
                <w:tcPr>
                  <w:tcW w:w="6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PM</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2.5</w:t>
                  </w:r>
                </w:p>
              </w:tc>
              <w:tc>
                <w:tcPr>
                  <w:tcW w:w="1216"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年平均</w:t>
                  </w:r>
                </w:p>
              </w:tc>
              <w:tc>
                <w:tcPr>
                  <w:tcW w:w="8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61</w:t>
                  </w:r>
                </w:p>
              </w:tc>
              <w:tc>
                <w:tcPr>
                  <w:tcW w:w="857"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35</w:t>
                  </w:r>
                </w:p>
              </w:tc>
              <w:tc>
                <w:tcPr>
                  <w:tcW w:w="779"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1.743</w:t>
                  </w:r>
                </w:p>
              </w:tc>
              <w:tc>
                <w:tcPr>
                  <w:tcW w:w="694" w:type="pct"/>
                </w:tcPr>
                <w:p>
                  <w:pPr>
                    <w:pStyle w:val="2"/>
                    <w:pBdr>
                      <w:bottom w:val="none" w:color="auto" w:sz="0" w:space="0"/>
                    </w:pBd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vertAlign w:val="baseline"/>
                      <w:lang w:val="en-US" w:eastAsia="zh-CN"/>
                      <w14:textFill>
                        <w14:solidFill>
                          <w14:schemeClr w14:val="tx1"/>
                        </w14:solidFill>
                      </w14:textFill>
                    </w:rPr>
                    <w:t>超标</w:t>
                  </w:r>
                </w:p>
              </w:tc>
            </w:tr>
          </w:tbl>
          <w:p>
            <w:pPr>
              <w:spacing w:before="120" w:beforeLines="50"/>
              <w:ind w:left="-2" w:leftChars="-1" w:right="-57" w:firstLine="480" w:firstLineChars="200"/>
              <w:rPr>
                <w:rFonts w:hint="default" w:ascii="Times New Roman" w:hAnsi="Times New Roman" w:cs="Times New Roman"/>
                <w:color w:val="000000" w:themeColor="text1"/>
                <w:spacing w:val="-9"/>
                <w:position w:val="2"/>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由上表结果得出：项目所在区域</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PM</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10</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、NO</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、PM</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2.5</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年平均浓度均超过《环境空气质量标准》（GB3095-2012）的二级标准要求；O</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最大8小时第90百分位数日平均浓度及CO第95百分位数日平均浓度、SO</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的年均浓度均满足《环境空气质量标准》（GB3095-2012）的二级标准要求，故本项目所在区域为非达标区。</w:t>
            </w:r>
          </w:p>
          <w:p>
            <w:pPr>
              <w:ind w:firstLine="482" w:firstLineChars="200"/>
              <w:rPr>
                <w:rFonts w:hint="default" w:ascii="Times New Roman" w:hAnsi="Times New Roman" w:cs="Times New Roman"/>
                <w:b/>
              </w:rPr>
            </w:pPr>
            <w:r>
              <w:rPr>
                <w:rFonts w:hint="default" w:ascii="Times New Roman" w:hAnsi="Times New Roman" w:cs="Times New Roman"/>
                <w:b/>
              </w:rPr>
              <w:t>二、水环境质量现状</w:t>
            </w:r>
          </w:p>
          <w:p>
            <w:pPr>
              <w:ind w:firstLine="480"/>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2.1地表水环境质量现状</w:t>
            </w:r>
          </w:p>
          <w:p>
            <w:pPr>
              <w:ind w:firstLine="48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本项目场区周边无地表水。</w:t>
            </w:r>
          </w:p>
          <w:p>
            <w:pPr>
              <w:ind w:firstLine="482" w:firstLineChars="200"/>
              <w:rPr>
                <w:rFonts w:hint="default" w:ascii="Times New Roman" w:hAnsi="Times New Roman"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2.2地下水环境质量现状</w:t>
            </w:r>
          </w:p>
          <w:p>
            <w:pPr>
              <w:ind w:firstLine="492" w:firstLineChars="200"/>
              <w:rPr>
                <w:rFonts w:hint="default" w:ascii="Times New Roman" w:hAnsi="Times New Roman" w:cs="Times New Roman"/>
                <w:color w:val="000000"/>
                <w:spacing w:val="3"/>
                <w:position w:val="2"/>
                <w:szCs w:val="24"/>
              </w:rPr>
            </w:pPr>
            <w:r>
              <w:rPr>
                <w:rFonts w:hint="default" w:ascii="Times New Roman" w:hAnsi="Times New Roman" w:cs="Times New Roman"/>
                <w:color w:val="000000"/>
                <w:spacing w:val="3"/>
                <w:position w:val="2"/>
                <w:szCs w:val="24"/>
              </w:rPr>
              <w:t>根据建设项目对地下水环境影响的程度，并结合《建设项目环境影响评价分类管理名录》，将建设项目分为四类。Ⅰ类、Ⅱ类、Ⅲ类建设项目的地下水环境影响评价应执行《环境影响评价技术导则地下水导则》（HJ610-2016）标准，Ⅳ类建设项目不开展地下水环境影响评价。</w:t>
            </w:r>
          </w:p>
          <w:p>
            <w:pPr>
              <w:ind w:firstLine="492" w:firstLineChars="200"/>
              <w:rPr>
                <w:rFonts w:hint="default" w:ascii="Times New Roman" w:hAnsi="Times New Roman" w:cs="Times New Roman"/>
                <w:color w:val="000000"/>
                <w:spacing w:val="3"/>
                <w:position w:val="2"/>
                <w:szCs w:val="24"/>
              </w:rPr>
            </w:pPr>
            <w:r>
              <w:rPr>
                <w:rFonts w:hint="default" w:ascii="Times New Roman" w:hAnsi="Times New Roman" w:cs="Times New Roman"/>
                <w:color w:val="000000"/>
                <w:spacing w:val="3"/>
                <w:position w:val="2"/>
                <w:szCs w:val="24"/>
              </w:rPr>
              <w:t>依据上述相关规定，本项目是塑料制品项目，依据《环境影响评价技术导则地下水导则》（HJ610-2016）附录表A的规定，本项目属于“N轻工、116塑料制品制造”，本项目地下水环境影响评价项目类别为Ⅳ类，因此不开展相关地下水环境影响评价。</w:t>
            </w:r>
          </w:p>
          <w:p>
            <w:pPr>
              <w:pStyle w:val="44"/>
              <w:ind w:firstLine="558"/>
              <w:rPr>
                <w:rFonts w:hint="default" w:ascii="Times New Roman" w:hAnsi="Times New Roman" w:cs="Times New Roman"/>
                <w:b/>
                <w:sz w:val="28"/>
              </w:rPr>
            </w:pPr>
            <w:r>
              <w:rPr>
                <w:rFonts w:hint="default" w:ascii="Times New Roman" w:hAnsi="Times New Roman" w:cs="Times New Roman"/>
                <w:b/>
                <w:sz w:val="28"/>
              </w:rPr>
              <w:t>3.声环境质量现状调查与评价</w:t>
            </w:r>
          </w:p>
          <w:p>
            <w:pPr>
              <w:pStyle w:val="44"/>
              <w:ind w:firstLine="558"/>
              <w:rPr>
                <w:rFonts w:hint="default" w:ascii="Times New Roman" w:hAnsi="Times New Roman" w:cs="Times New Roman"/>
                <w:b/>
                <w:bCs/>
                <w:snapToGrid w:val="0"/>
                <w:sz w:val="28"/>
              </w:rPr>
            </w:pPr>
            <w:r>
              <w:rPr>
                <w:rFonts w:hint="default" w:ascii="Times New Roman" w:hAnsi="Times New Roman" w:cs="Times New Roman"/>
                <w:b/>
                <w:sz w:val="28"/>
              </w:rPr>
              <w:t>3.1声环境背景监测</w:t>
            </w:r>
          </w:p>
          <w:p>
            <w:pPr>
              <w:pStyle w:val="44"/>
              <w:ind w:firstLine="476"/>
              <w:rPr>
                <w:rFonts w:hint="default" w:ascii="Times New Roman" w:hAnsi="Times New Roman" w:cs="Times New Roman"/>
                <w:highlight w:val="none"/>
              </w:rPr>
            </w:pPr>
            <w:r>
              <w:rPr>
                <w:rFonts w:hint="default" w:ascii="Times New Roman" w:hAnsi="Times New Roman" w:cs="Times New Roman"/>
              </w:rPr>
              <w:t>项目区周边声环境质量现状监测委托新疆博奇清新环境检测有限公司进行现场监测，监测时间为2019年3月12日。根据项目区的实际情况在管道沿线布设4个点，分昼间和夜间两时段监测，布点位置分别为厂区四周，</w:t>
            </w:r>
            <w:r>
              <w:rPr>
                <w:rFonts w:hint="default" w:ascii="Times New Roman" w:hAnsi="Times New Roman" w:cs="Times New Roman"/>
                <w:highlight w:val="none"/>
              </w:rPr>
              <w:t>监测点位布置见附</w:t>
            </w:r>
            <w:r>
              <w:rPr>
                <w:rFonts w:hint="eastAsia" w:cs="Times New Roman"/>
                <w:highlight w:val="none"/>
                <w:lang w:eastAsia="zh-CN"/>
              </w:rPr>
              <w:t>图</w:t>
            </w:r>
            <w:r>
              <w:rPr>
                <w:rFonts w:hint="eastAsia" w:cs="Times New Roman"/>
                <w:highlight w:val="none"/>
                <w:lang w:val="en-US" w:eastAsia="zh-CN"/>
              </w:rPr>
              <w:t>5</w:t>
            </w:r>
            <w:r>
              <w:rPr>
                <w:rFonts w:hint="default" w:ascii="Times New Roman" w:hAnsi="Times New Roman" w:cs="Times New Roman"/>
                <w:highlight w:val="none"/>
              </w:rPr>
              <w:t>。</w:t>
            </w:r>
          </w:p>
          <w:p>
            <w:pPr>
              <w:pStyle w:val="44"/>
              <w:ind w:firstLine="558"/>
              <w:rPr>
                <w:rFonts w:hint="default" w:ascii="Times New Roman" w:hAnsi="Times New Roman" w:cs="Times New Roman"/>
                <w:b/>
                <w:sz w:val="28"/>
              </w:rPr>
            </w:pPr>
            <w:r>
              <w:rPr>
                <w:rFonts w:hint="default" w:ascii="Times New Roman" w:hAnsi="Times New Roman" w:cs="Times New Roman"/>
                <w:b/>
                <w:sz w:val="28"/>
              </w:rPr>
              <w:t>3.2声环境质量标准</w:t>
            </w:r>
          </w:p>
          <w:p>
            <w:pPr>
              <w:pStyle w:val="44"/>
              <w:ind w:firstLine="476"/>
              <w:rPr>
                <w:rFonts w:hint="default" w:ascii="Times New Roman" w:hAnsi="Times New Roman" w:cs="Times New Roman"/>
              </w:rPr>
            </w:pPr>
            <w:r>
              <w:rPr>
                <w:rFonts w:hint="default" w:ascii="Times New Roman" w:hAnsi="Times New Roman" w:cs="Times New Roman"/>
              </w:rPr>
              <w:t>本项目采用《声环境质量标准》（GB3096-2008）的3类声环境功能限值，标准值见表3.2-1。</w:t>
            </w:r>
          </w:p>
          <w:p>
            <w:pPr>
              <w:adjustRightInd w:val="0"/>
              <w:snapToGrid w:val="0"/>
              <w:spacing w:line="240" w:lineRule="auto"/>
              <w:ind w:firstLine="422" w:firstLineChars="200"/>
              <w:jc w:val="center"/>
              <w:rPr>
                <w:rFonts w:hint="default" w:ascii="Times New Roman" w:hAnsi="Times New Roman" w:cs="Times New Roman"/>
                <w:b/>
                <w:bCs/>
                <w:sz w:val="21"/>
                <w:szCs w:val="21"/>
              </w:rPr>
            </w:pPr>
            <w:r>
              <w:rPr>
                <w:rFonts w:hint="default" w:ascii="Times New Roman" w:hAnsi="Times New Roman" w:cs="Times New Roman"/>
                <w:b/>
                <w:bCs/>
                <w:sz w:val="21"/>
                <w:szCs w:val="21"/>
              </w:rPr>
              <w:t>表3.2-1    声环境功能区质量标准一览表      单位：dB(A)</w:t>
            </w:r>
          </w:p>
          <w:tbl>
            <w:tblPr>
              <w:tblStyle w:val="14"/>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391"/>
              <w:gridCol w:w="2391"/>
              <w:gridCol w:w="2393"/>
              <w:gridCol w:w="239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00" w:type="pct"/>
                  <w:gridSpan w:val="2"/>
                  <w:vMerge w:val="restart"/>
                  <w:vAlign w:val="center"/>
                </w:tcPr>
                <w:p>
                  <w:pPr>
                    <w:adjustRightInd w:val="0"/>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声环境功能区类别</w:t>
                  </w:r>
                </w:p>
              </w:tc>
              <w:tc>
                <w:tcPr>
                  <w:tcW w:w="2500" w:type="pct"/>
                  <w:gridSpan w:val="2"/>
                  <w:vAlign w:val="center"/>
                </w:tcPr>
                <w:p>
                  <w:pPr>
                    <w:adjustRightInd w:val="0"/>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时段</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00" w:type="pct"/>
                  <w:gridSpan w:val="2"/>
                  <w:vMerge w:val="continue"/>
                  <w:vAlign w:val="center"/>
                </w:tcPr>
                <w:p>
                  <w:pPr>
                    <w:adjustRightInd w:val="0"/>
                    <w:snapToGrid w:val="0"/>
                    <w:spacing w:line="240" w:lineRule="auto"/>
                    <w:jc w:val="center"/>
                    <w:rPr>
                      <w:rFonts w:hint="default" w:ascii="Times New Roman" w:hAnsi="Times New Roman" w:cs="Times New Roman"/>
                      <w:bCs/>
                      <w:sz w:val="21"/>
                      <w:szCs w:val="21"/>
                    </w:rPr>
                  </w:pPr>
                </w:p>
              </w:tc>
              <w:tc>
                <w:tcPr>
                  <w:tcW w:w="1251" w:type="pct"/>
                  <w:vAlign w:val="center"/>
                </w:tcPr>
                <w:p>
                  <w:pPr>
                    <w:adjustRightInd w:val="0"/>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昼间</w:t>
                  </w:r>
                </w:p>
              </w:tc>
              <w:tc>
                <w:tcPr>
                  <w:tcW w:w="1249" w:type="pct"/>
                  <w:vAlign w:val="center"/>
                </w:tcPr>
                <w:p>
                  <w:pPr>
                    <w:adjustRightInd w:val="0"/>
                    <w:snapToGrid w:val="0"/>
                    <w:spacing w:line="240" w:lineRule="auto"/>
                    <w:jc w:val="center"/>
                    <w:rPr>
                      <w:rFonts w:hint="default" w:ascii="Times New Roman" w:hAnsi="Times New Roman" w:cs="Times New Roman"/>
                      <w:bCs/>
                      <w:sz w:val="21"/>
                      <w:szCs w:val="21"/>
                    </w:rPr>
                  </w:pPr>
                  <w:r>
                    <w:rPr>
                      <w:rFonts w:hint="default" w:ascii="Times New Roman" w:hAnsi="Times New Roman" w:cs="Times New Roman"/>
                      <w:bCs/>
                      <w:sz w:val="21"/>
                      <w:szCs w:val="21"/>
                    </w:rPr>
                    <w:t>夜间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00" w:type="pct"/>
                  <w:gridSpan w:val="2"/>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0类</w:t>
                  </w:r>
                </w:p>
              </w:tc>
              <w:tc>
                <w:tcPr>
                  <w:tcW w:w="1251"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50</w:t>
                  </w:r>
                </w:p>
              </w:tc>
              <w:tc>
                <w:tcPr>
                  <w:tcW w:w="1249"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00" w:type="pct"/>
                  <w:gridSpan w:val="2"/>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1类</w:t>
                  </w:r>
                </w:p>
              </w:tc>
              <w:tc>
                <w:tcPr>
                  <w:tcW w:w="1251"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w:t>
                  </w:r>
                </w:p>
              </w:tc>
              <w:tc>
                <w:tcPr>
                  <w:tcW w:w="1249"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00" w:type="pct"/>
                  <w:gridSpan w:val="2"/>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2类</w:t>
                  </w:r>
                </w:p>
              </w:tc>
              <w:tc>
                <w:tcPr>
                  <w:tcW w:w="1251"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60</w:t>
                  </w:r>
                </w:p>
              </w:tc>
              <w:tc>
                <w:tcPr>
                  <w:tcW w:w="1249"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2500" w:type="pct"/>
                  <w:gridSpan w:val="2"/>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3类</w:t>
                  </w:r>
                </w:p>
              </w:tc>
              <w:tc>
                <w:tcPr>
                  <w:tcW w:w="1251"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65</w:t>
                  </w:r>
                </w:p>
              </w:tc>
              <w:tc>
                <w:tcPr>
                  <w:tcW w:w="1249"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0" w:type="pct"/>
                  <w:vMerge w:val="restar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4类</w:t>
                  </w:r>
                </w:p>
              </w:tc>
              <w:tc>
                <w:tcPr>
                  <w:tcW w:w="1250"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4a类</w:t>
                  </w:r>
                </w:p>
              </w:tc>
              <w:tc>
                <w:tcPr>
                  <w:tcW w:w="1251"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70</w:t>
                  </w:r>
                </w:p>
              </w:tc>
              <w:tc>
                <w:tcPr>
                  <w:tcW w:w="1249"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250" w:type="pct"/>
                  <w:vMerge w:val="continue"/>
                  <w:vAlign w:val="center"/>
                </w:tcPr>
                <w:p>
                  <w:pPr>
                    <w:adjustRightInd w:val="0"/>
                    <w:snapToGrid w:val="0"/>
                    <w:spacing w:line="240" w:lineRule="auto"/>
                    <w:jc w:val="center"/>
                    <w:rPr>
                      <w:rFonts w:hint="default" w:ascii="Times New Roman" w:hAnsi="Times New Roman" w:cs="Times New Roman"/>
                      <w:sz w:val="21"/>
                      <w:szCs w:val="21"/>
                    </w:rPr>
                  </w:pPr>
                </w:p>
              </w:tc>
              <w:tc>
                <w:tcPr>
                  <w:tcW w:w="1250"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4b类</w:t>
                  </w:r>
                </w:p>
              </w:tc>
              <w:tc>
                <w:tcPr>
                  <w:tcW w:w="1251"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70</w:t>
                  </w:r>
                </w:p>
              </w:tc>
              <w:tc>
                <w:tcPr>
                  <w:tcW w:w="1249" w:type="pct"/>
                  <w:vAlign w:val="center"/>
                </w:tcPr>
                <w:p>
                  <w:pPr>
                    <w:adjustRightInd w:val="0"/>
                    <w:snapToGrid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60</w:t>
                  </w:r>
                </w:p>
              </w:tc>
            </w:tr>
          </w:tbl>
          <w:p>
            <w:pPr>
              <w:pStyle w:val="44"/>
              <w:ind w:firstLine="558"/>
              <w:rPr>
                <w:rFonts w:hint="default" w:ascii="Times New Roman" w:hAnsi="Times New Roman" w:cs="Times New Roman"/>
                <w:b/>
                <w:sz w:val="28"/>
              </w:rPr>
            </w:pPr>
            <w:r>
              <w:rPr>
                <w:rFonts w:hint="default" w:ascii="Times New Roman" w:hAnsi="Times New Roman" w:cs="Times New Roman"/>
                <w:b/>
                <w:sz w:val="28"/>
              </w:rPr>
              <w:t>3.3监测结果及评价</w:t>
            </w:r>
          </w:p>
          <w:p>
            <w:pPr>
              <w:pStyle w:val="44"/>
              <w:ind w:firstLine="476"/>
              <w:rPr>
                <w:rFonts w:hint="default" w:ascii="Times New Roman" w:hAnsi="Times New Roman" w:cs="Times New Roman"/>
              </w:rPr>
            </w:pPr>
            <w:r>
              <w:rPr>
                <w:rFonts w:hint="default" w:ascii="Times New Roman" w:hAnsi="Times New Roman" w:cs="Times New Roman"/>
              </w:rPr>
              <w:t>项目管道沿线噪声监测及评价结果见表3.3-1。</w:t>
            </w:r>
          </w:p>
          <w:p>
            <w:pPr>
              <w:adjustRightInd w:val="0"/>
              <w:snapToGrid w:val="0"/>
              <w:spacing w:line="240" w:lineRule="auto"/>
              <w:ind w:firstLine="422" w:firstLineChars="200"/>
              <w:jc w:val="center"/>
              <w:rPr>
                <w:rFonts w:hint="default" w:ascii="Times New Roman" w:hAnsi="Times New Roman" w:cs="Times New Roman"/>
                <w:b/>
                <w:sz w:val="21"/>
                <w:szCs w:val="21"/>
              </w:rPr>
            </w:pPr>
            <w:r>
              <w:rPr>
                <w:rFonts w:hint="default" w:ascii="Times New Roman" w:hAnsi="Times New Roman" w:cs="Times New Roman"/>
                <w:b/>
                <w:sz w:val="21"/>
                <w:szCs w:val="21"/>
              </w:rPr>
              <w:t>表3.3-1    声环境质量现状监测结果一览表      单位：dB（A）</w:t>
            </w:r>
          </w:p>
          <w:tbl>
            <w:tblPr>
              <w:tblStyle w:val="14"/>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811"/>
              <w:gridCol w:w="3354"/>
              <w:gridCol w:w="1337"/>
              <w:gridCol w:w="1389"/>
              <w:gridCol w:w="1402"/>
              <w:gridCol w:w="12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57" w:hRule="atLeast"/>
              </w:trPr>
              <w:tc>
                <w:tcPr>
                  <w:tcW w:w="425" w:type="pct"/>
                  <w:vMerge w:val="restart"/>
                  <w:tcBorders>
                    <w:left w:val="nil"/>
                  </w:tcBorders>
                  <w:vAlign w:val="center"/>
                </w:tcPr>
                <w:p>
                  <w:pPr>
                    <w:spacing w:line="0" w:lineRule="atLeast"/>
                    <w:jc w:val="center"/>
                    <w:rPr>
                      <w:rFonts w:hint="default" w:ascii="Times New Roman" w:hAnsi="Times New Roman" w:cs="Times New Roman"/>
                      <w:bCs/>
                      <w:sz w:val="21"/>
                      <w:szCs w:val="21"/>
                    </w:rPr>
                  </w:pPr>
                  <w:r>
                    <w:rPr>
                      <w:rFonts w:hint="default" w:ascii="Times New Roman" w:hAnsi="Times New Roman" w:cs="Times New Roman"/>
                      <w:bCs/>
                      <w:sz w:val="21"/>
                      <w:szCs w:val="21"/>
                    </w:rPr>
                    <w:t>序号</w:t>
                  </w:r>
                </w:p>
              </w:tc>
              <w:tc>
                <w:tcPr>
                  <w:tcW w:w="1756" w:type="pct"/>
                  <w:vMerge w:val="restart"/>
                  <w:vAlign w:val="center"/>
                </w:tcPr>
                <w:p>
                  <w:pPr>
                    <w:spacing w:line="0" w:lineRule="atLeast"/>
                    <w:ind w:firstLine="420"/>
                    <w:jc w:val="center"/>
                    <w:rPr>
                      <w:rFonts w:hint="default" w:ascii="Times New Roman" w:hAnsi="Times New Roman" w:cs="Times New Roman"/>
                      <w:bCs/>
                      <w:sz w:val="21"/>
                      <w:szCs w:val="21"/>
                    </w:rPr>
                  </w:pPr>
                  <w:r>
                    <w:rPr>
                      <w:rFonts w:hint="default" w:ascii="Times New Roman" w:hAnsi="Times New Roman" w:cs="Times New Roman"/>
                      <w:bCs/>
                      <w:sz w:val="21"/>
                      <w:szCs w:val="21"/>
                    </w:rPr>
                    <w:t>噪声点方位</w:t>
                  </w:r>
                </w:p>
              </w:tc>
              <w:tc>
                <w:tcPr>
                  <w:tcW w:w="1427" w:type="pct"/>
                  <w:gridSpan w:val="2"/>
                  <w:vAlign w:val="center"/>
                </w:tcPr>
                <w:p>
                  <w:pPr>
                    <w:spacing w:line="0" w:lineRule="atLeast"/>
                    <w:jc w:val="center"/>
                    <w:rPr>
                      <w:rFonts w:hint="default" w:ascii="Times New Roman" w:hAnsi="Times New Roman" w:cs="Times New Roman"/>
                      <w:bCs/>
                      <w:sz w:val="21"/>
                      <w:szCs w:val="21"/>
                    </w:rPr>
                  </w:pPr>
                  <w:r>
                    <w:rPr>
                      <w:rFonts w:hint="default" w:ascii="Times New Roman" w:hAnsi="Times New Roman" w:cs="Times New Roman"/>
                      <w:bCs/>
                      <w:sz w:val="21"/>
                      <w:szCs w:val="21"/>
                    </w:rPr>
                    <w:t>噪声值</w:t>
                  </w:r>
                </w:p>
              </w:tc>
              <w:tc>
                <w:tcPr>
                  <w:tcW w:w="1392" w:type="pct"/>
                  <w:gridSpan w:val="2"/>
                  <w:tcBorders>
                    <w:right w:val="nil"/>
                  </w:tcBorders>
                  <w:vAlign w:val="center"/>
                </w:tcPr>
                <w:p>
                  <w:pPr>
                    <w:spacing w:line="0" w:lineRule="atLeast"/>
                    <w:jc w:val="center"/>
                    <w:rPr>
                      <w:rFonts w:hint="default" w:ascii="Times New Roman" w:hAnsi="Times New Roman" w:cs="Times New Roman"/>
                      <w:bCs/>
                      <w:sz w:val="21"/>
                      <w:szCs w:val="21"/>
                    </w:rPr>
                  </w:pPr>
                  <w:r>
                    <w:rPr>
                      <w:rFonts w:hint="default" w:ascii="Times New Roman" w:hAnsi="Times New Roman" w:cs="Times New Roman"/>
                      <w:bCs/>
                      <w:sz w:val="21"/>
                      <w:szCs w:val="21"/>
                    </w:rPr>
                    <w:t>标准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6" w:hRule="atLeast"/>
              </w:trPr>
              <w:tc>
                <w:tcPr>
                  <w:tcW w:w="425" w:type="pct"/>
                  <w:vMerge w:val="continue"/>
                  <w:tcBorders>
                    <w:left w:val="nil"/>
                  </w:tcBorders>
                  <w:vAlign w:val="center"/>
                </w:tcPr>
                <w:p>
                  <w:pPr>
                    <w:spacing w:line="0" w:lineRule="atLeast"/>
                    <w:jc w:val="center"/>
                    <w:rPr>
                      <w:rFonts w:hint="default" w:ascii="Times New Roman" w:hAnsi="Times New Roman" w:cs="Times New Roman"/>
                      <w:bCs/>
                      <w:sz w:val="21"/>
                      <w:szCs w:val="21"/>
                    </w:rPr>
                  </w:pPr>
                </w:p>
              </w:tc>
              <w:tc>
                <w:tcPr>
                  <w:tcW w:w="1756" w:type="pct"/>
                  <w:vMerge w:val="continue"/>
                  <w:vAlign w:val="center"/>
                </w:tcPr>
                <w:p>
                  <w:pPr>
                    <w:spacing w:line="0" w:lineRule="atLeast"/>
                    <w:jc w:val="center"/>
                    <w:rPr>
                      <w:rFonts w:hint="default" w:ascii="Times New Roman" w:hAnsi="Times New Roman" w:cs="Times New Roman"/>
                      <w:bCs/>
                      <w:sz w:val="21"/>
                      <w:szCs w:val="21"/>
                    </w:rPr>
                  </w:pPr>
                </w:p>
              </w:tc>
              <w:tc>
                <w:tcPr>
                  <w:tcW w:w="700" w:type="pct"/>
                  <w:vAlign w:val="center"/>
                </w:tcPr>
                <w:p>
                  <w:pPr>
                    <w:spacing w:line="0" w:lineRule="atLeast"/>
                    <w:jc w:val="center"/>
                    <w:rPr>
                      <w:rFonts w:hint="default" w:ascii="Times New Roman" w:hAnsi="Times New Roman" w:cs="Times New Roman"/>
                      <w:bCs/>
                      <w:sz w:val="21"/>
                      <w:szCs w:val="21"/>
                    </w:rPr>
                  </w:pPr>
                  <w:r>
                    <w:rPr>
                      <w:rFonts w:hint="default" w:ascii="Times New Roman" w:hAnsi="Times New Roman" w:cs="Times New Roman"/>
                      <w:bCs/>
                      <w:sz w:val="21"/>
                      <w:szCs w:val="21"/>
                    </w:rPr>
                    <w:t>昼间</w:t>
                  </w:r>
                </w:p>
              </w:tc>
              <w:tc>
                <w:tcPr>
                  <w:tcW w:w="727" w:type="pct"/>
                  <w:tcBorders>
                    <w:bottom w:val="single" w:color="auto" w:sz="4" w:space="0"/>
                  </w:tcBorders>
                  <w:vAlign w:val="center"/>
                </w:tcPr>
                <w:p>
                  <w:pPr>
                    <w:spacing w:line="0" w:lineRule="atLeast"/>
                    <w:jc w:val="center"/>
                    <w:rPr>
                      <w:rFonts w:hint="default" w:ascii="Times New Roman" w:hAnsi="Times New Roman" w:cs="Times New Roman"/>
                      <w:bCs/>
                      <w:sz w:val="21"/>
                      <w:szCs w:val="21"/>
                    </w:rPr>
                  </w:pPr>
                  <w:r>
                    <w:rPr>
                      <w:rFonts w:hint="default" w:ascii="Times New Roman" w:hAnsi="Times New Roman" w:cs="Times New Roman"/>
                      <w:bCs/>
                      <w:sz w:val="21"/>
                      <w:szCs w:val="21"/>
                    </w:rPr>
                    <w:t>夜间</w:t>
                  </w:r>
                </w:p>
              </w:tc>
              <w:tc>
                <w:tcPr>
                  <w:tcW w:w="734" w:type="pct"/>
                  <w:tcBorders>
                    <w:bottom w:val="single" w:color="auto" w:sz="4" w:space="0"/>
                  </w:tcBorders>
                  <w:vAlign w:val="center"/>
                </w:tcPr>
                <w:p>
                  <w:pPr>
                    <w:spacing w:line="0" w:lineRule="atLeast"/>
                    <w:jc w:val="center"/>
                    <w:rPr>
                      <w:rFonts w:hint="default" w:ascii="Times New Roman" w:hAnsi="Times New Roman" w:cs="Times New Roman"/>
                      <w:bCs/>
                      <w:sz w:val="21"/>
                      <w:szCs w:val="21"/>
                    </w:rPr>
                  </w:pPr>
                  <w:r>
                    <w:rPr>
                      <w:rFonts w:hint="default" w:ascii="Times New Roman" w:hAnsi="Times New Roman" w:cs="Times New Roman"/>
                      <w:bCs/>
                      <w:sz w:val="21"/>
                      <w:szCs w:val="21"/>
                    </w:rPr>
                    <w:t>昼间</w:t>
                  </w:r>
                </w:p>
              </w:tc>
              <w:tc>
                <w:tcPr>
                  <w:tcW w:w="658" w:type="pct"/>
                  <w:tcBorders>
                    <w:bottom w:val="single" w:color="auto" w:sz="4" w:space="0"/>
                    <w:right w:val="nil"/>
                  </w:tcBorders>
                  <w:vAlign w:val="center"/>
                </w:tcPr>
                <w:p>
                  <w:pPr>
                    <w:spacing w:line="0" w:lineRule="atLeast"/>
                    <w:jc w:val="center"/>
                    <w:rPr>
                      <w:rFonts w:hint="default" w:ascii="Times New Roman" w:hAnsi="Times New Roman" w:cs="Times New Roman"/>
                      <w:bCs/>
                      <w:sz w:val="21"/>
                      <w:szCs w:val="21"/>
                    </w:rPr>
                  </w:pPr>
                  <w:r>
                    <w:rPr>
                      <w:rFonts w:hint="default" w:ascii="Times New Roman" w:hAnsi="Times New Roman" w:cs="Times New Roman"/>
                      <w:bCs/>
                      <w:sz w:val="21"/>
                      <w:szCs w:val="21"/>
                    </w:rPr>
                    <w:t>夜间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46" w:hRule="atLeast"/>
              </w:trPr>
              <w:tc>
                <w:tcPr>
                  <w:tcW w:w="425" w:type="pct"/>
                  <w:tcBorders>
                    <w:left w:val="nil"/>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756" w:type="pc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厂区北侧</w:t>
                  </w:r>
                </w:p>
              </w:tc>
              <w:tc>
                <w:tcPr>
                  <w:tcW w:w="700"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47.1</w:t>
                  </w:r>
                </w:p>
              </w:tc>
              <w:tc>
                <w:tcPr>
                  <w:tcW w:w="727"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42.2</w:t>
                  </w:r>
                </w:p>
              </w:tc>
              <w:tc>
                <w:tcPr>
                  <w:tcW w:w="734" w:type="pct"/>
                  <w:tcBorders>
                    <w:bottom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65</w:t>
                  </w:r>
                </w:p>
              </w:tc>
              <w:tc>
                <w:tcPr>
                  <w:tcW w:w="658" w:type="pct"/>
                  <w:tcBorders>
                    <w:bottom w:val="single" w:color="auto" w:sz="4" w:space="0"/>
                    <w:right w:val="nil"/>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70" w:hRule="atLeast"/>
              </w:trPr>
              <w:tc>
                <w:tcPr>
                  <w:tcW w:w="425" w:type="pct"/>
                  <w:tcBorders>
                    <w:left w:val="nil"/>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1756" w:type="pc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厂区东侧</w:t>
                  </w:r>
                </w:p>
              </w:tc>
              <w:tc>
                <w:tcPr>
                  <w:tcW w:w="700"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43.8</w:t>
                  </w:r>
                </w:p>
              </w:tc>
              <w:tc>
                <w:tcPr>
                  <w:tcW w:w="727"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40.5</w:t>
                  </w:r>
                </w:p>
              </w:tc>
              <w:tc>
                <w:tcPr>
                  <w:tcW w:w="734" w:type="pct"/>
                  <w:tcBorders>
                    <w:top w:val="single" w:color="auto" w:sz="4" w:space="0"/>
                    <w:bottom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65</w:t>
                  </w:r>
                </w:p>
              </w:tc>
              <w:tc>
                <w:tcPr>
                  <w:tcW w:w="658" w:type="pct"/>
                  <w:tcBorders>
                    <w:top w:val="single" w:color="auto" w:sz="4" w:space="0"/>
                    <w:bottom w:val="single" w:color="auto" w:sz="4" w:space="0"/>
                    <w:right w:val="nil"/>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70" w:hRule="atLeast"/>
              </w:trPr>
              <w:tc>
                <w:tcPr>
                  <w:tcW w:w="425" w:type="pct"/>
                  <w:tcBorders>
                    <w:left w:val="nil"/>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1756" w:type="pc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厂区南侧</w:t>
                  </w:r>
                </w:p>
              </w:tc>
              <w:tc>
                <w:tcPr>
                  <w:tcW w:w="700"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49.2</w:t>
                  </w:r>
                </w:p>
              </w:tc>
              <w:tc>
                <w:tcPr>
                  <w:tcW w:w="727"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42.7</w:t>
                  </w:r>
                </w:p>
              </w:tc>
              <w:tc>
                <w:tcPr>
                  <w:tcW w:w="734" w:type="pct"/>
                  <w:tcBorders>
                    <w:top w:val="single" w:color="auto" w:sz="4" w:space="0"/>
                    <w:bottom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65</w:t>
                  </w:r>
                </w:p>
              </w:tc>
              <w:tc>
                <w:tcPr>
                  <w:tcW w:w="658" w:type="pct"/>
                  <w:tcBorders>
                    <w:top w:val="single" w:color="auto" w:sz="4" w:space="0"/>
                    <w:bottom w:val="single" w:color="auto" w:sz="4" w:space="0"/>
                    <w:right w:val="nil"/>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70" w:hRule="atLeast"/>
              </w:trPr>
              <w:tc>
                <w:tcPr>
                  <w:tcW w:w="425" w:type="pct"/>
                  <w:tcBorders>
                    <w:left w:val="nil"/>
                  </w:tcBorders>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1756" w:type="pct"/>
                  <w:vAlign w:val="center"/>
                </w:tcPr>
                <w:p>
                  <w:pPr>
                    <w:spacing w:line="0" w:lineRule="atLeast"/>
                    <w:jc w:val="center"/>
                    <w:rPr>
                      <w:rFonts w:hint="default" w:ascii="Times New Roman" w:hAnsi="Times New Roman" w:cs="Times New Roman"/>
                      <w:sz w:val="21"/>
                      <w:szCs w:val="21"/>
                    </w:rPr>
                  </w:pPr>
                  <w:r>
                    <w:rPr>
                      <w:rFonts w:hint="default" w:ascii="Times New Roman" w:hAnsi="Times New Roman" w:cs="Times New Roman"/>
                      <w:sz w:val="21"/>
                      <w:szCs w:val="21"/>
                    </w:rPr>
                    <w:t>厂区西侧</w:t>
                  </w:r>
                </w:p>
              </w:tc>
              <w:tc>
                <w:tcPr>
                  <w:tcW w:w="700"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46.5</w:t>
                  </w:r>
                </w:p>
              </w:tc>
              <w:tc>
                <w:tcPr>
                  <w:tcW w:w="727" w:type="pc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41.4</w:t>
                  </w:r>
                </w:p>
              </w:tc>
              <w:tc>
                <w:tcPr>
                  <w:tcW w:w="734" w:type="pct"/>
                  <w:tcBorders>
                    <w:top w:val="single" w:color="auto" w:sz="4" w:space="0"/>
                    <w:bottom w:val="single" w:color="auto" w:sz="4" w:space="0"/>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65</w:t>
                  </w:r>
                </w:p>
              </w:tc>
              <w:tc>
                <w:tcPr>
                  <w:tcW w:w="658" w:type="pct"/>
                  <w:tcBorders>
                    <w:top w:val="single" w:color="auto" w:sz="4" w:space="0"/>
                    <w:bottom w:val="single" w:color="auto" w:sz="4" w:space="0"/>
                    <w:right w:val="nil"/>
                  </w:tcBorders>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55</w:t>
                  </w:r>
                </w:p>
              </w:tc>
            </w:tr>
          </w:tbl>
          <w:p>
            <w:pPr>
              <w:pStyle w:val="44"/>
              <w:ind w:firstLine="476"/>
              <w:rPr>
                <w:rFonts w:hint="default" w:ascii="Times New Roman" w:hAnsi="Times New Roman" w:cs="Times New Roman"/>
              </w:rPr>
            </w:pPr>
            <w:r>
              <w:rPr>
                <w:rFonts w:hint="default" w:ascii="Times New Roman" w:hAnsi="Times New Roman" w:cs="Times New Roman"/>
                <w:bCs/>
              </w:rPr>
              <w:t>从表</w:t>
            </w:r>
            <w:r>
              <w:rPr>
                <w:rFonts w:hint="default" w:ascii="Times New Roman" w:hAnsi="Times New Roman" w:cs="Times New Roman"/>
              </w:rPr>
              <w:t>3.3-1</w:t>
            </w:r>
            <w:r>
              <w:rPr>
                <w:rFonts w:hint="default" w:ascii="Times New Roman" w:hAnsi="Times New Roman" w:cs="Times New Roman"/>
                <w:bCs/>
              </w:rPr>
              <w:t>监测</w:t>
            </w:r>
            <w:r>
              <w:rPr>
                <w:rFonts w:hint="default" w:ascii="Times New Roman" w:hAnsi="Times New Roman" w:cs="Times New Roman"/>
              </w:rPr>
              <w:t>结果可以看出，项目厂界监测点声环境背景值均符合《声环境质量标准》（GB3096-2008）中3类标准。</w:t>
            </w: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ind w:firstLine="480"/>
              <w:rPr>
                <w:rFonts w:hint="default" w:ascii="Times New Roman" w:hAnsi="Times New Roman" w:cs="Times New Roman"/>
              </w:rPr>
            </w:pPr>
          </w:p>
          <w:p>
            <w:pPr>
              <w:rPr>
                <w:rFonts w:hint="default" w:ascii="Times New Roman" w:hAnsi="Times New Roman" w:cs="Times New Roman"/>
              </w:rPr>
            </w:pPr>
          </w:p>
          <w:p>
            <w:pPr>
              <w:ind w:firstLine="480"/>
              <w:rPr>
                <w:rFonts w:hint="default" w:ascii="Times New Roman" w:hAnsi="Times New Roman" w:cs="Times New Roman"/>
              </w:rPr>
            </w:pPr>
          </w:p>
          <w:p>
            <w:pP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tcPr>
          <w:p>
            <w:pPr>
              <w:spacing w:after="120" w:afterLines="50" w:line="240" w:lineRule="auto"/>
              <w:rPr>
                <w:rFonts w:hint="default" w:ascii="Times New Roman" w:hAnsi="Times New Roman" w:cs="Times New Roman"/>
                <w:b/>
                <w:bCs/>
                <w:sz w:val="28"/>
                <w:szCs w:val="28"/>
              </w:rPr>
            </w:pPr>
            <w:r>
              <w:rPr>
                <w:rFonts w:hint="default" w:ascii="Times New Roman" w:hAnsi="Times New Roman" w:cs="Times New Roman"/>
                <w:b/>
                <w:bCs/>
                <w:sz w:val="28"/>
                <w:szCs w:val="28"/>
              </w:rPr>
              <w:t>主要环境保护目标（列出名单及保护级别）：</w:t>
            </w:r>
          </w:p>
          <w:p>
            <w:pPr>
              <w:ind w:firstLine="480" w:firstLineChars="200"/>
              <w:rPr>
                <w:rFonts w:hint="default" w:ascii="Times New Roman" w:hAnsi="Times New Roman" w:cs="Times New Roman"/>
              </w:rPr>
            </w:pPr>
            <w:r>
              <w:rPr>
                <w:rFonts w:hint="default" w:ascii="Times New Roman" w:hAnsi="Times New Roman" w:cs="Times New Roman"/>
              </w:rPr>
              <w:t>本项目位于新疆昌吉回族自治州昌吉市大西渠镇闽昌工业园区幸福大道，坐标N44°1'51.53"</w:t>
            </w:r>
            <w:r>
              <w:rPr>
                <w:rFonts w:hint="eastAsia" w:cs="Times New Roman"/>
                <w:lang w:eastAsia="zh-CN"/>
              </w:rPr>
              <w:t>；</w:t>
            </w:r>
            <w:r>
              <w:rPr>
                <w:rFonts w:hint="default" w:ascii="Times New Roman" w:hAnsi="Times New Roman" w:cs="Times New Roman"/>
              </w:rPr>
              <w:t>E87°12'25.50"。在本项目评价范围内无居民区等环境敏感点，因此，本项目不设置环境保护目标。项目</w:t>
            </w:r>
            <w:r>
              <w:rPr>
                <w:rFonts w:hint="default" w:ascii="Times New Roman" w:hAnsi="Times New Roman" w:cs="Times New Roman"/>
                <w:kern w:val="0"/>
              </w:rPr>
              <w:t>确定项目区环境保护级别为：</w:t>
            </w:r>
          </w:p>
          <w:p>
            <w:pPr>
              <w:ind w:firstLine="480"/>
              <w:rPr>
                <w:rFonts w:hint="default" w:ascii="Times New Roman" w:hAnsi="Times New Roman" w:cs="Times New Roman"/>
                <w:kern w:val="0"/>
              </w:rPr>
            </w:pPr>
            <w:r>
              <w:rPr>
                <w:rFonts w:hint="default" w:ascii="Times New Roman" w:hAnsi="Times New Roman" w:cs="Times New Roman"/>
                <w:kern w:val="0"/>
              </w:rPr>
              <w:t>1.大气环境：减小项目生产对所在区域空气环境的影响，维持现有空气环境质量；</w:t>
            </w:r>
          </w:p>
          <w:p>
            <w:pPr>
              <w:ind w:firstLine="480"/>
              <w:rPr>
                <w:rFonts w:hint="eastAsia" w:ascii="Times New Roman" w:hAnsi="Times New Roman" w:eastAsia="宋体" w:cs="Times New Roman"/>
                <w:kern w:val="0"/>
                <w:lang w:val="en-US" w:eastAsia="zh-CN"/>
              </w:rPr>
            </w:pPr>
            <w:r>
              <w:rPr>
                <w:rFonts w:hint="default" w:ascii="Times New Roman" w:hAnsi="Times New Roman" w:cs="Times New Roman"/>
                <w:kern w:val="0"/>
              </w:rPr>
              <w:t>2.水环境：保护项目所在区域地下水不受影响，满足《地下水环境质量标准》（GB3838</w:t>
            </w:r>
            <w:r>
              <w:rPr>
                <w:rFonts w:hint="eastAsia" w:cs="Times New Roman"/>
                <w:kern w:val="0"/>
                <w:lang w:val="en-US" w:eastAsia="zh-CN"/>
              </w:rPr>
              <w:t>-</w:t>
            </w:r>
            <w:r>
              <w:rPr>
                <w:rFonts w:hint="default" w:ascii="Times New Roman" w:hAnsi="Times New Roman" w:cs="Times New Roman"/>
                <w:kern w:val="0"/>
              </w:rPr>
              <w:t>2017）Ⅲ类标准限值；</w:t>
            </w:r>
          </w:p>
          <w:p>
            <w:pPr>
              <w:ind w:firstLine="480"/>
              <w:rPr>
                <w:rFonts w:hint="default" w:ascii="Times New Roman" w:hAnsi="Times New Roman" w:cs="Times New Roman"/>
                <w:kern w:val="0"/>
              </w:rPr>
            </w:pPr>
            <w:r>
              <w:rPr>
                <w:rFonts w:hint="default" w:ascii="Times New Roman" w:hAnsi="Times New Roman" w:cs="Times New Roman"/>
                <w:kern w:val="0"/>
              </w:rPr>
              <w:t>3.声环境：减少项目生产噪声对所在区域声环境的影响，使项目周边声环境满足《声环境质量标准》（GB3096-2008）3类标准；</w:t>
            </w:r>
          </w:p>
          <w:p>
            <w:pPr>
              <w:ind w:firstLine="480"/>
              <w:rPr>
                <w:rFonts w:hint="default" w:ascii="Times New Roman" w:hAnsi="Times New Roman" w:cs="Times New Roman"/>
                <w:kern w:val="0"/>
              </w:rPr>
            </w:pPr>
            <w:r>
              <w:rPr>
                <w:rFonts w:hint="default" w:ascii="Times New Roman" w:hAnsi="Times New Roman" w:cs="Times New Roman"/>
                <w:kern w:val="0"/>
              </w:rPr>
              <w:t>4.固体废物：本项目产生的固体废物得到合理有效的处置，确保区域环境卫生不受影响。</w:t>
            </w: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firstLine="476"/>
              <w:rPr>
                <w:rFonts w:hint="default" w:ascii="Times New Roman" w:hAnsi="Times New Roman" w:cs="Times New Roman"/>
              </w:rPr>
            </w:pPr>
          </w:p>
          <w:p>
            <w:pPr>
              <w:pStyle w:val="44"/>
              <w:ind w:left="0" w:leftChars="0" w:firstLine="0" w:firstLineChars="0"/>
              <w:rPr>
                <w:rFonts w:hint="default" w:ascii="Times New Roman" w:hAnsi="Times New Roman" w:cs="Times New Roman"/>
              </w:rPr>
            </w:pPr>
          </w:p>
          <w:p>
            <w:pPr>
              <w:pStyle w:val="44"/>
              <w:ind w:left="0" w:leftChars="0" w:firstLine="0" w:firstLineChars="0"/>
              <w:rPr>
                <w:rFonts w:hint="default" w:ascii="Times New Roman" w:hAnsi="Times New Roman" w:cs="Times New Roman"/>
              </w:rPr>
            </w:pPr>
          </w:p>
          <w:p>
            <w:pPr>
              <w:pStyle w:val="44"/>
              <w:ind w:left="0" w:leftChars="0" w:firstLine="0" w:firstLineChars="0"/>
              <w:rPr>
                <w:rFonts w:hint="default" w:ascii="Times New Roman" w:hAnsi="Times New Roman" w:cs="Times New Roman"/>
              </w:rPr>
            </w:pPr>
          </w:p>
          <w:p>
            <w:pPr>
              <w:pStyle w:val="44"/>
              <w:ind w:left="0" w:leftChars="0" w:firstLine="0" w:firstLineChars="0"/>
              <w:rPr>
                <w:rFonts w:hint="default" w:ascii="Times New Roman" w:hAnsi="Times New Roman" w:cs="Times New Roman"/>
              </w:rPr>
            </w:pPr>
          </w:p>
        </w:tc>
      </w:tr>
    </w:tbl>
    <w:p>
      <w:pPr>
        <w:spacing w:line="240" w:lineRule="auto"/>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评价适用标准</w:t>
      </w:r>
    </w:p>
    <w:tbl>
      <w:tblPr>
        <w:tblStyle w:val="14"/>
        <w:tblW w:w="1034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8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1389" w:type="dxa"/>
            <w:vAlign w:val="center"/>
          </w:tcPr>
          <w:p>
            <w:pPr>
              <w:spacing w:line="240" w:lineRule="auto"/>
              <w:ind w:left="-125" w:right="-113"/>
              <w:jc w:val="center"/>
              <w:rPr>
                <w:rFonts w:hint="default" w:ascii="Times New Roman" w:hAnsi="Times New Roman" w:cs="Times New Roman"/>
                <w:color w:val="000000" w:themeColor="text1"/>
                <w:sz w:val="32"/>
                <w14:textFill>
                  <w14:solidFill>
                    <w14:schemeClr w14:val="tx1"/>
                  </w14:solidFill>
                </w14:textFill>
              </w:rPr>
            </w:pPr>
            <w:r>
              <w:rPr>
                <w:rFonts w:hint="default" w:ascii="Times New Roman" w:hAnsi="Times New Roman" w:cs="Times New Roman"/>
                <w:color w:val="000000" w:themeColor="text1"/>
                <w:sz w:val="32"/>
                <w14:textFill>
                  <w14:solidFill>
                    <w14:schemeClr w14:val="tx1"/>
                  </w14:solidFill>
                </w14:textFill>
              </w:rPr>
              <w:t>环</w:t>
            </w:r>
          </w:p>
          <w:p>
            <w:pPr>
              <w:spacing w:line="240" w:lineRule="auto"/>
              <w:ind w:left="-125" w:right="-113"/>
              <w:jc w:val="center"/>
              <w:rPr>
                <w:rFonts w:hint="default" w:ascii="Times New Roman" w:hAnsi="Times New Roman" w:cs="Times New Roman"/>
                <w:color w:val="000000" w:themeColor="text1"/>
                <w:sz w:val="32"/>
                <w14:textFill>
                  <w14:solidFill>
                    <w14:schemeClr w14:val="tx1"/>
                  </w14:solidFill>
                </w14:textFill>
              </w:rPr>
            </w:pPr>
            <w:r>
              <w:rPr>
                <w:rFonts w:hint="default" w:ascii="Times New Roman" w:hAnsi="Times New Roman" w:cs="Times New Roman"/>
                <w:color w:val="000000" w:themeColor="text1"/>
                <w:sz w:val="32"/>
                <w14:textFill>
                  <w14:solidFill>
                    <w14:schemeClr w14:val="tx1"/>
                  </w14:solidFill>
                </w14:textFill>
              </w:rPr>
              <w:t>境</w:t>
            </w:r>
          </w:p>
          <w:p>
            <w:pPr>
              <w:spacing w:line="240" w:lineRule="auto"/>
              <w:ind w:left="-125" w:right="-113"/>
              <w:jc w:val="center"/>
              <w:rPr>
                <w:rFonts w:hint="default" w:ascii="Times New Roman" w:hAnsi="Times New Roman" w:cs="Times New Roman"/>
                <w:color w:val="000000" w:themeColor="text1"/>
                <w:sz w:val="32"/>
                <w14:textFill>
                  <w14:solidFill>
                    <w14:schemeClr w14:val="tx1"/>
                  </w14:solidFill>
                </w14:textFill>
              </w:rPr>
            </w:pPr>
            <w:r>
              <w:rPr>
                <w:rFonts w:hint="default" w:ascii="Times New Roman" w:hAnsi="Times New Roman" w:cs="Times New Roman"/>
                <w:color w:val="000000" w:themeColor="text1"/>
                <w:sz w:val="32"/>
                <w14:textFill>
                  <w14:solidFill>
                    <w14:schemeClr w14:val="tx1"/>
                  </w14:solidFill>
                </w14:textFill>
              </w:rPr>
              <w:t>质</w:t>
            </w:r>
          </w:p>
          <w:p>
            <w:pPr>
              <w:spacing w:line="240" w:lineRule="auto"/>
              <w:ind w:left="-125" w:right="-113"/>
              <w:jc w:val="center"/>
              <w:rPr>
                <w:rFonts w:hint="default" w:ascii="Times New Roman" w:hAnsi="Times New Roman" w:cs="Times New Roman"/>
                <w:color w:val="000000" w:themeColor="text1"/>
                <w:sz w:val="32"/>
                <w14:textFill>
                  <w14:solidFill>
                    <w14:schemeClr w14:val="tx1"/>
                  </w14:solidFill>
                </w14:textFill>
              </w:rPr>
            </w:pPr>
            <w:r>
              <w:rPr>
                <w:rFonts w:hint="default" w:ascii="Times New Roman" w:hAnsi="Times New Roman" w:cs="Times New Roman"/>
                <w:color w:val="000000" w:themeColor="text1"/>
                <w:sz w:val="32"/>
                <w14:textFill>
                  <w14:solidFill>
                    <w14:schemeClr w14:val="tx1"/>
                  </w14:solidFill>
                </w14:textFill>
              </w:rPr>
              <w:t>量</w:t>
            </w:r>
          </w:p>
          <w:p>
            <w:pPr>
              <w:spacing w:line="240" w:lineRule="auto"/>
              <w:ind w:left="-125" w:right="-113"/>
              <w:jc w:val="center"/>
              <w:rPr>
                <w:rFonts w:hint="default" w:ascii="Times New Roman" w:hAnsi="Times New Roman" w:cs="Times New Roman"/>
                <w:color w:val="000000" w:themeColor="text1"/>
                <w:sz w:val="32"/>
                <w14:textFill>
                  <w14:solidFill>
                    <w14:schemeClr w14:val="tx1"/>
                  </w14:solidFill>
                </w14:textFill>
              </w:rPr>
            </w:pPr>
            <w:r>
              <w:rPr>
                <w:rFonts w:hint="default" w:ascii="Times New Roman" w:hAnsi="Times New Roman" w:cs="Times New Roman"/>
                <w:color w:val="000000" w:themeColor="text1"/>
                <w:sz w:val="32"/>
                <w14:textFill>
                  <w14:solidFill>
                    <w14:schemeClr w14:val="tx1"/>
                  </w14:solidFill>
                </w14:textFill>
              </w:rPr>
              <w:t>标</w:t>
            </w:r>
          </w:p>
          <w:p>
            <w:pPr>
              <w:spacing w:line="240" w:lineRule="auto"/>
              <w:ind w:left="-125" w:right="-113"/>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 w:val="32"/>
                <w14:textFill>
                  <w14:solidFill>
                    <w14:schemeClr w14:val="tx1"/>
                  </w14:solidFill>
                </w14:textFill>
              </w:rPr>
              <w:t>准</w:t>
            </w:r>
          </w:p>
        </w:tc>
        <w:tc>
          <w:tcPr>
            <w:tcW w:w="8959" w:type="dxa"/>
            <w:vAlign w:val="center"/>
          </w:tcPr>
          <w:p>
            <w:pPr>
              <w:pStyle w:val="44"/>
              <w:ind w:firstLine="476"/>
              <w:rPr>
                <w:rFonts w:hint="default" w:ascii="Times New Roman" w:hAnsi="Times New Roman" w:cs="Times New Roman"/>
              </w:rPr>
            </w:pPr>
            <w:r>
              <w:rPr>
                <w:rFonts w:hint="default" w:ascii="Times New Roman" w:hAnsi="Times New Roman" w:cs="Times New Roman"/>
              </w:rPr>
              <w:t>1.《环境空气质量标准》(GB3095-2012)二级标准；</w:t>
            </w:r>
          </w:p>
          <w:p>
            <w:pPr>
              <w:pStyle w:val="44"/>
              <w:ind w:firstLine="476"/>
              <w:rPr>
                <w:rFonts w:hint="default" w:ascii="Times New Roman" w:hAnsi="Times New Roman" w:cs="Times New Roman"/>
              </w:rPr>
            </w:pPr>
            <w:r>
              <w:rPr>
                <w:rFonts w:hint="default" w:ascii="Times New Roman" w:hAnsi="Times New Roman" w:cs="Times New Roman"/>
              </w:rPr>
              <w:t>2.《声环境质量标准》(GB3096-2008)3类标准。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0" w:hRule="atLeast"/>
        </w:trPr>
        <w:tc>
          <w:tcPr>
            <w:tcW w:w="1389" w:type="dxa"/>
            <w:vAlign w:val="center"/>
          </w:tcPr>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污</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染</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物</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排</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放</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标</w:t>
            </w:r>
          </w:p>
          <w:p>
            <w:pPr>
              <w:spacing w:line="240" w:lineRule="auto"/>
              <w:ind w:left="-125" w:right="-113"/>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准</w:t>
            </w:r>
          </w:p>
        </w:tc>
        <w:tc>
          <w:tcPr>
            <w:tcW w:w="8959" w:type="dxa"/>
            <w:vAlign w:val="center"/>
          </w:tcPr>
          <w:p>
            <w:pPr>
              <w:pStyle w:val="44"/>
              <w:ind w:left="0" w:leftChars="0" w:firstLine="0" w:firstLineChars="0"/>
              <w:rPr>
                <w:rFonts w:hint="default" w:ascii="Times New Roman" w:hAnsi="Times New Roman" w:cs="Times New Roman"/>
                <w:b w:val="0"/>
                <w:bCs w:val="0"/>
              </w:rPr>
            </w:pPr>
          </w:p>
          <w:p>
            <w:pPr>
              <w:pStyle w:val="44"/>
              <w:ind w:left="0" w:leftChars="0" w:firstLine="472" w:firstLineChars="200"/>
              <w:rPr>
                <w:rFonts w:hint="default" w:ascii="Times New Roman" w:hAnsi="Times New Roman" w:cs="Times New Roman"/>
                <w:b w:val="0"/>
                <w:bCs w:val="0"/>
              </w:rPr>
            </w:pPr>
            <w:r>
              <w:rPr>
                <w:rFonts w:hint="default" w:ascii="Times New Roman" w:hAnsi="Times New Roman" w:cs="Times New Roman"/>
                <w:b w:val="0"/>
                <w:bCs w:val="0"/>
              </w:rPr>
              <w:t>1.《工业企业厂界环境噪声排放标准》(GB12348-2008)中3类标准；</w:t>
            </w:r>
          </w:p>
          <w:p>
            <w:pPr>
              <w:pStyle w:val="44"/>
              <w:ind w:firstLine="476"/>
              <w:rPr>
                <w:rFonts w:hint="default" w:ascii="Times New Roman" w:hAnsi="Times New Roman" w:cs="Times New Roman"/>
                <w:b w:val="0"/>
                <w:bCs w:val="0"/>
              </w:rPr>
            </w:pPr>
            <w:r>
              <w:rPr>
                <w:rFonts w:hint="default" w:ascii="Times New Roman" w:hAnsi="Times New Roman" w:cs="Times New Roman"/>
                <w:b w:val="0"/>
                <w:bCs w:val="0"/>
              </w:rPr>
              <w:t>2.</w:t>
            </w:r>
            <w:r>
              <w:rPr>
                <w:rFonts w:hint="eastAsia" w:ascii="Times New Roman" w:hAnsi="Times New Roman" w:cs="Times New Roman"/>
                <w:b w:val="0"/>
                <w:bCs w:val="0"/>
              </w:rPr>
              <w:t>《合成树脂工业污染物排放标准》（GB31572-2015）表4中</w:t>
            </w:r>
            <w:r>
              <w:rPr>
                <w:rFonts w:hint="default" w:ascii="Times New Roman" w:hAnsi="Times New Roman" w:cs="Times New Roman"/>
                <w:b w:val="0"/>
                <w:bCs w:val="0"/>
              </w:rPr>
              <w:t>非甲烷总烃</w:t>
            </w:r>
            <w:r>
              <w:rPr>
                <w:rFonts w:hint="eastAsia" w:ascii="Times New Roman" w:hAnsi="Times New Roman" w:cs="Times New Roman"/>
                <w:b w:val="0"/>
                <w:bCs w:val="0"/>
              </w:rPr>
              <w:t>排放限值</w:t>
            </w:r>
            <w:r>
              <w:rPr>
                <w:rFonts w:hint="default" w:ascii="Times New Roman" w:hAnsi="Times New Roman" w:cs="Times New Roman"/>
                <w:b w:val="0"/>
                <w:bCs w:val="0"/>
              </w:rPr>
              <w:t>；</w:t>
            </w:r>
          </w:p>
          <w:p>
            <w:pPr>
              <w:pStyle w:val="44"/>
              <w:ind w:firstLine="478"/>
              <w:rPr>
                <w:rFonts w:hint="default" w:ascii="Times New Roman" w:hAnsi="Times New Roman" w:cs="Times New Roman"/>
                <w:b w:val="0"/>
                <w:bCs w:val="0"/>
              </w:rPr>
            </w:pPr>
            <w:r>
              <w:rPr>
                <w:rFonts w:hint="default" w:ascii="Times New Roman" w:hAnsi="Times New Roman" w:cs="Times New Roman"/>
                <w:b w:val="0"/>
                <w:bCs w:val="0"/>
              </w:rPr>
              <w:t>3.《大气污染物综合排放标准》（GB16297-1996）中表2新建企业标准；</w:t>
            </w:r>
          </w:p>
          <w:p>
            <w:pPr>
              <w:pStyle w:val="44"/>
              <w:ind w:firstLine="476"/>
              <w:rPr>
                <w:rFonts w:hint="eastAsia" w:eastAsia="宋体" w:cs="Times New Roman"/>
                <w:b w:val="0"/>
                <w:bCs w:val="0"/>
                <w:lang w:eastAsia="zh-CN"/>
              </w:rPr>
            </w:pPr>
            <w:r>
              <w:rPr>
                <w:rFonts w:hint="default" w:ascii="Times New Roman" w:hAnsi="Times New Roman" w:cs="Times New Roman"/>
                <w:b w:val="0"/>
                <w:bCs w:val="0"/>
              </w:rPr>
              <w:t>4.《一般工业固体废弃物贮存、处置场污染控制标准》（GB18599-2001）及其修改单（环境保护部公告2013年第36号）中的有关规定</w:t>
            </w:r>
            <w:r>
              <w:rPr>
                <w:rFonts w:hint="eastAsia" w:cs="Times New Roman"/>
                <w:b w:val="0"/>
                <w:bCs w:val="0"/>
                <w:lang w:eastAsia="zh-CN"/>
              </w:rPr>
              <w:t>；</w:t>
            </w:r>
          </w:p>
          <w:p>
            <w:pPr>
              <w:pStyle w:val="44"/>
              <w:ind w:firstLine="476"/>
              <w:rPr>
                <w:rFonts w:hint="eastAsia" w:ascii="Times New Roman" w:hAnsi="Times New Roman" w:eastAsia="宋体"/>
                <w:b w:val="0"/>
                <w:bCs w:val="0"/>
                <w:szCs w:val="24"/>
                <w:lang w:eastAsia="zh-CN"/>
              </w:rPr>
            </w:pPr>
            <w:r>
              <w:rPr>
                <w:rFonts w:hint="eastAsia" w:cs="Times New Roman"/>
                <w:b w:val="0"/>
                <w:bCs w:val="0"/>
                <w:lang w:val="en-US" w:eastAsia="zh-CN"/>
              </w:rPr>
              <w:t>5.</w:t>
            </w:r>
            <w:r>
              <w:rPr>
                <w:rFonts w:ascii="Times New Roman" w:hAnsi="Times New Roman"/>
                <w:b w:val="0"/>
                <w:bCs w:val="0"/>
                <w:szCs w:val="24"/>
              </w:rPr>
              <w:t>《危险废物贮存污染控制标准》（GB18597-2001）及修改单</w:t>
            </w:r>
            <w:r>
              <w:rPr>
                <w:rFonts w:hint="eastAsia"/>
                <w:b w:val="0"/>
                <w:bCs w:val="0"/>
                <w:szCs w:val="24"/>
                <w:lang w:eastAsia="zh-CN"/>
              </w:rPr>
              <w:t>；</w:t>
            </w:r>
          </w:p>
          <w:p>
            <w:pPr>
              <w:pStyle w:val="44"/>
              <w:ind w:firstLine="476"/>
              <w:rPr>
                <w:rFonts w:hint="default" w:ascii="Times New Roman" w:hAnsi="Times New Roman"/>
                <w:b w:val="0"/>
                <w:bCs w:val="0"/>
                <w:szCs w:val="24"/>
                <w:lang w:val="en-US" w:eastAsia="zh-CN"/>
              </w:rPr>
            </w:pPr>
            <w:r>
              <w:rPr>
                <w:rFonts w:hint="eastAsia" w:ascii="Times New Roman" w:hAnsi="Times New Roman"/>
                <w:b w:val="0"/>
                <w:bCs w:val="0"/>
                <w:szCs w:val="24"/>
                <w:lang w:val="en-US" w:eastAsia="zh-CN"/>
              </w:rPr>
              <w:t>6.《挥发性有机物无组织排放控制标准》（GB37822-2019）表A.1厂区内VOCs无组织排放限值中特别排放限值；</w:t>
            </w:r>
          </w:p>
          <w:p>
            <w:pPr>
              <w:pStyle w:val="44"/>
              <w:ind w:firstLine="476"/>
              <w:rPr>
                <w:rFonts w:hint="eastAsia" w:ascii="Times New Roman" w:hAnsi="Times New Roman"/>
                <w:b w:val="0"/>
                <w:bCs w:val="0"/>
                <w:szCs w:val="24"/>
                <w:lang w:val="en-US" w:eastAsia="zh-CN"/>
              </w:rPr>
            </w:pPr>
            <w:r>
              <w:rPr>
                <w:rFonts w:hint="eastAsia" w:ascii="Times New Roman" w:hAnsi="Times New Roman"/>
                <w:b w:val="0"/>
                <w:bCs w:val="0"/>
                <w:szCs w:val="24"/>
                <w:lang w:val="en-US" w:eastAsia="zh-CN"/>
              </w:rPr>
              <w:t>7.《污水综合排放标准》（GB8978-1996）中三级标准。</w:t>
            </w:r>
          </w:p>
          <w:p>
            <w:pPr>
              <w:pStyle w:val="44"/>
              <w:ind w:firstLine="476"/>
              <w:rPr>
                <w:rFonts w:hint="default" w:ascii="Times New Roman" w:hAnsi="Times New Roman"/>
                <w:b w:val="0"/>
                <w:bCs w:val="0"/>
                <w:szCs w:val="24"/>
                <w:lang w:val="en-US" w:eastAsia="zh-CN"/>
              </w:rPr>
            </w:pPr>
            <w:r>
              <w:rPr>
                <w:rFonts w:hint="eastAsia" w:ascii="Times New Roman" w:hAnsi="Times New Roman"/>
                <w:b w:val="0"/>
                <w:bCs w:val="0"/>
                <w:szCs w:val="24"/>
                <w:lang w:val="en-US" w:eastAsia="zh-CN"/>
              </w:rPr>
              <w:t>8.《城镇污水处理厂污染物排放标准》（GB18918-2002）</w:t>
            </w:r>
            <w:r>
              <w:rPr>
                <w:rFonts w:hint="eastAsia"/>
                <w:b w:val="0"/>
                <w:bCs w:val="0"/>
                <w:szCs w:val="24"/>
                <w:lang w:val="en-US" w:eastAsia="zh-CN"/>
              </w:rPr>
              <w:t>中一级A标准</w:t>
            </w:r>
          </w:p>
          <w:p>
            <w:pPr>
              <w:pStyle w:val="53"/>
              <w:rPr>
                <w:rFonts w:hint="default" w:ascii="Times New Roman" w:hAnsi="Times New Roman" w:eastAsia="宋体" w:cs="Times New Roman"/>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5" w:hRule="atLeast"/>
        </w:trPr>
        <w:tc>
          <w:tcPr>
            <w:tcW w:w="1389" w:type="dxa"/>
            <w:vAlign w:val="center"/>
          </w:tcPr>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总</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量</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控</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制</w:t>
            </w:r>
          </w:p>
          <w:p>
            <w:pPr>
              <w:spacing w:line="240" w:lineRule="auto"/>
              <w:ind w:left="-125" w:right="-113"/>
              <w:jc w:val="center"/>
              <w:rPr>
                <w:rFonts w:hint="default"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指</w:t>
            </w:r>
          </w:p>
          <w:p>
            <w:pPr>
              <w:spacing w:line="240" w:lineRule="auto"/>
              <w:ind w:left="-125" w:right="-113"/>
              <w:jc w:val="center"/>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 w:val="32"/>
                <w:szCs w:val="32"/>
                <w14:textFill>
                  <w14:solidFill>
                    <w14:schemeClr w14:val="tx1"/>
                  </w14:solidFill>
                </w14:textFill>
              </w:rPr>
              <w:t>标</w:t>
            </w:r>
          </w:p>
        </w:tc>
        <w:tc>
          <w:tcPr>
            <w:tcW w:w="8959" w:type="dxa"/>
          </w:tcPr>
          <w:p>
            <w:pPr>
              <w:pStyle w:val="44"/>
              <w:ind w:firstLine="476"/>
              <w:rPr>
                <w:rFonts w:hint="default" w:ascii="Times New Roman" w:hAnsi="Times New Roman" w:cs="Times New Roman"/>
                <w:color w:val="000000" w:themeColor="text1"/>
                <w14:textFill>
                  <w14:solidFill>
                    <w14:schemeClr w14:val="tx1"/>
                  </w14:solidFill>
                </w14:textFill>
              </w:rPr>
            </w:pPr>
          </w:p>
          <w:p>
            <w:pPr>
              <w:pStyle w:val="44"/>
              <w:ind w:firstLine="476"/>
              <w:rPr>
                <w:rFonts w:hint="default" w:ascii="Times New Roman" w:hAnsi="Times New Roman" w:cs="Times New Roman"/>
                <w:color w:val="000000" w:themeColor="text1"/>
                <w14:textFill>
                  <w14:solidFill>
                    <w14:schemeClr w14:val="tx1"/>
                  </w14:solidFill>
                </w14:textFill>
              </w:rPr>
            </w:pPr>
          </w:p>
          <w:p>
            <w:pPr>
              <w:pStyle w:val="44"/>
              <w:ind w:firstLine="476"/>
              <w:rPr>
                <w:rFonts w:hint="default" w:ascii="Times New Roman" w:hAnsi="Times New Roman" w:cs="Times New Roman"/>
                <w:color w:val="000000" w:themeColor="text1"/>
                <w:sz w:val="28"/>
                <w14:textFill>
                  <w14:solidFill>
                    <w14:schemeClr w14:val="tx1"/>
                  </w14:solidFill>
                </w14:textFill>
              </w:rPr>
            </w:pPr>
            <w:bookmarkStart w:id="6" w:name="_GoBack"/>
            <w:bookmarkEnd w:id="6"/>
            <w:r>
              <w:rPr>
                <w:rFonts w:hint="default" w:ascii="Times New Roman" w:hAnsi="Times New Roman" w:cs="Times New Roman"/>
                <w:color w:val="000000" w:themeColor="text1"/>
                <w14:textFill>
                  <w14:solidFill>
                    <w14:schemeClr w14:val="tx1"/>
                  </w14:solidFill>
                </w14:textFill>
              </w:rPr>
              <w:t>区域内VOCs排放实行倍量替代，VOCs区域排放需替代的量为新建项目VOCs排放量的2倍。本项目VOCs排放总量为0.0</w:t>
            </w:r>
            <w:r>
              <w:rPr>
                <w:rFonts w:hint="eastAsia" w:cs="Times New Roman"/>
                <w:color w:val="000000" w:themeColor="text1"/>
                <w:lang w:val="en-US" w:eastAsia="zh-CN"/>
                <w14:textFill>
                  <w14:solidFill>
                    <w14:schemeClr w14:val="tx1"/>
                  </w14:solidFill>
                </w14:textFill>
              </w:rPr>
              <w:t>768t/a</w:t>
            </w:r>
            <w:r>
              <w:rPr>
                <w:rFonts w:hint="default" w:ascii="Times New Roman" w:hAnsi="Times New Roman" w:cs="Times New Roman"/>
                <w:color w:val="000000" w:themeColor="text1"/>
                <w14:textFill>
                  <w14:solidFill>
                    <w14:schemeClr w14:val="tx1"/>
                  </w14:solidFill>
                </w14:textFill>
              </w:rPr>
              <w:t>，需替代量为</w:t>
            </w:r>
            <w:r>
              <w:rPr>
                <w:rFonts w:hint="eastAsia" w:cs="Times New Roman"/>
                <w:color w:val="000000" w:themeColor="text1"/>
                <w:lang w:val="en-US" w:eastAsia="zh-CN"/>
                <w14:textFill>
                  <w14:solidFill>
                    <w14:schemeClr w14:val="tx1"/>
                  </w14:solidFill>
                </w14:textFill>
              </w:rPr>
              <w:t>0.1536t/a</w:t>
            </w:r>
            <w:r>
              <w:rPr>
                <w:rFonts w:hint="default" w:ascii="Times New Roman" w:hAnsi="Times New Roman" w:cs="Times New Roman"/>
                <w:color w:val="000000" w:themeColor="text1"/>
                <w14:textFill>
                  <w14:solidFill>
                    <w14:schemeClr w14:val="tx1"/>
                  </w14:solidFill>
                </w14:textFill>
              </w:rPr>
              <w:t>。VOCs总量替代来源于区域内其它涉VOCs项目消减量，项目区域VOCs总量不得新增。本项目总量控制指标为0.0</w:t>
            </w:r>
            <w:r>
              <w:rPr>
                <w:rFonts w:hint="eastAsia" w:cs="Times New Roman"/>
                <w:color w:val="000000" w:themeColor="text1"/>
                <w:lang w:val="en-US" w:eastAsia="zh-CN"/>
                <w14:textFill>
                  <w14:solidFill>
                    <w14:schemeClr w14:val="tx1"/>
                  </w14:solidFill>
                </w14:textFill>
              </w:rPr>
              <w:t>768t/a。</w:t>
            </w:r>
          </w:p>
        </w:tc>
      </w:tr>
    </w:tbl>
    <w:p>
      <w:pPr>
        <w:pStyle w:val="6"/>
        <w:spacing w:after="0" w:line="240" w:lineRule="auto"/>
        <w:rPr>
          <w:rFonts w:hint="default" w:ascii="Times New Roman" w:hAnsi="Times New Roman" w:cs="Times New Roman"/>
          <w:b/>
          <w:sz w:val="32"/>
          <w:szCs w:val="32"/>
        </w:rPr>
      </w:pPr>
      <w:r>
        <w:rPr>
          <w:rFonts w:hint="default" w:ascii="Times New Roman" w:hAnsi="Times New Roman" w:cs="Times New Roman"/>
          <w:b/>
          <w:sz w:val="32"/>
          <w:szCs w:val="32"/>
        </w:rPr>
        <w:t>建设项目工程分析</w:t>
      </w:r>
    </w:p>
    <w:tbl>
      <w:tblPr>
        <w:tblStyle w:val="15"/>
        <w:tblW w:w="10665"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65" w:type="dxa"/>
          </w:tcPr>
          <w:p>
            <w:pPr>
              <w:spacing w:before="120" w:beforeLines="50"/>
              <w:rPr>
                <w:rFonts w:hint="default" w:ascii="Times New Roman" w:hAnsi="Times New Roman" w:cs="Times New Roman"/>
                <w:b/>
                <w:bCs/>
                <w:sz w:val="28"/>
              </w:rPr>
            </w:pPr>
            <w:r>
              <w:rPr>
                <w:rFonts w:hint="default" w:ascii="Times New Roman" w:hAnsi="Times New Roman" w:cs="Times New Roman"/>
                <w:b/>
                <w:bCs/>
                <w:sz w:val="28"/>
              </w:rPr>
              <w:t>工艺流程简述（图示）：</w:t>
            </w:r>
          </w:p>
          <w:p>
            <w:pPr>
              <w:pStyle w:val="44"/>
              <w:ind w:firstLine="478"/>
              <w:rPr>
                <w:rFonts w:hint="default" w:ascii="Times New Roman" w:hAnsi="Times New Roman" w:cs="Times New Roman"/>
                <w:b/>
              </w:rPr>
            </w:pPr>
            <w:r>
              <w:rPr>
                <w:rFonts w:hint="default" w:ascii="Times New Roman" w:hAnsi="Times New Roman" w:cs="Times New Roman"/>
                <w:b/>
              </w:rPr>
              <w:t>一、施工期</w:t>
            </w:r>
          </w:p>
          <w:p>
            <w:pPr>
              <w:pStyle w:val="44"/>
              <w:ind w:firstLine="476"/>
              <w:rPr>
                <w:rFonts w:hint="default" w:ascii="Times New Roman" w:hAnsi="Times New Roman" w:cs="Times New Roman"/>
              </w:rPr>
            </w:pPr>
            <w:r>
              <w:rPr>
                <w:rFonts w:hint="default" w:ascii="Times New Roman" w:hAnsi="Times New Roman" w:cs="Times New Roman"/>
              </w:rPr>
              <w:t>本项目租聘当地闲置车间进行建设。施工内容主要为厂房清理和设备安装，无土建施工。本次环评不对施工期环境影响进行分析。</w:t>
            </w:r>
          </w:p>
          <w:p>
            <w:pPr>
              <w:pStyle w:val="44"/>
              <w:ind w:firstLine="478"/>
              <w:rPr>
                <w:rFonts w:hint="default" w:ascii="Times New Roman" w:hAnsi="Times New Roman" w:cs="Times New Roman"/>
                <w:b/>
              </w:rPr>
            </w:pPr>
            <w:r>
              <w:rPr>
                <w:rFonts w:hint="default" w:ascii="Times New Roman" w:hAnsi="Times New Roman" w:cs="Times New Roman"/>
                <w:b/>
              </w:rPr>
              <w:t>二、运营期</w:t>
            </w:r>
          </w:p>
          <w:p>
            <w:pPr>
              <w:rPr>
                <w:rFonts w:hint="default" w:ascii="Times New Roman" w:hAnsi="Times New Roman" w:cs="Times New Roman"/>
              </w:rPr>
            </w:pPr>
            <w:r>
              <w:rPr>
                <w:rFonts w:hint="default" w:ascii="Times New Roman" w:hAnsi="Times New Roman" w:cs="Times New Roman"/>
              </w:rPr>
              <w:t xml:space="preserve">       项目运营期间生产工艺见图2-1。</w:t>
            </w:r>
          </w:p>
          <w:p>
            <w:pPr>
              <w:spacing w:line="240" w:lineRule="auto"/>
              <w:rPr>
                <w:rFonts w:hint="default" w:ascii="Times New Roman" w:hAnsi="Times New Roman" w:cs="Times New Roman"/>
                <w:b/>
              </w:rPr>
            </w:pPr>
            <w:r>
              <w:rPr>
                <w:rFonts w:hint="default" w:ascii="Times New Roman" w:hAnsi="Times New Roman" w:cs="Times New Roman"/>
                <w:b/>
              </w:rPr>
              <w:drawing>
                <wp:inline distT="0" distB="0" distL="0" distR="0">
                  <wp:extent cx="6635115" cy="23291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641144" cy="2331192"/>
                          </a:xfrm>
                          <a:prstGeom prst="rect">
                            <a:avLst/>
                          </a:prstGeom>
                        </pic:spPr>
                      </pic:pic>
                    </a:graphicData>
                  </a:graphic>
                </wp:inline>
              </w:drawing>
            </w:r>
          </w:p>
          <w:p>
            <w:pPr>
              <w:spacing w:line="240" w:lineRule="auto"/>
              <w:rPr>
                <w:rFonts w:hint="default" w:ascii="Times New Roman" w:hAnsi="Times New Roman" w:cs="Times New Roman"/>
                <w:b/>
              </w:rPr>
            </w:pPr>
            <w:r>
              <w:rPr>
                <w:rFonts w:hint="default" w:ascii="Times New Roman" w:hAnsi="Times New Roman" w:cs="Times New Roman"/>
                <w:b/>
              </w:rPr>
              <w:t xml:space="preserve">                                                     </w:t>
            </w:r>
            <w:r>
              <w:rPr>
                <w:rFonts w:hint="default" w:ascii="Times New Roman" w:hAnsi="Times New Roman" w:cs="Times New Roman"/>
                <w:b/>
                <w:sz w:val="21"/>
              </w:rPr>
              <w:t xml:space="preserve"> 图2-1            生产工艺流程图</w:t>
            </w:r>
          </w:p>
          <w:p>
            <w:pPr>
              <w:pStyle w:val="44"/>
              <w:ind w:firstLine="476"/>
              <w:rPr>
                <w:rFonts w:hint="default" w:ascii="Times New Roman" w:hAnsi="Times New Roman" w:cs="Times New Roman"/>
              </w:rPr>
            </w:pPr>
            <w:r>
              <w:rPr>
                <w:rFonts w:hint="default" w:ascii="Times New Roman" w:hAnsi="Times New Roman" w:cs="Times New Roman"/>
              </w:rPr>
              <w:t>工艺简述：</w:t>
            </w:r>
          </w:p>
          <w:p>
            <w:pPr>
              <w:pStyle w:val="44"/>
              <w:ind w:firstLine="476"/>
              <w:rPr>
                <w:rFonts w:hint="default" w:ascii="Times New Roman" w:hAnsi="Times New Roman" w:cs="Times New Roman"/>
              </w:rPr>
            </w:pPr>
            <w:r>
              <w:rPr>
                <w:rFonts w:hint="default" w:ascii="Times New Roman" w:hAnsi="Times New Roman" w:cs="Times New Roman"/>
              </w:rPr>
              <w:t>首先将HDPE与色母按照相应比例将原料混合均匀（塑料颗粒较大，无附着物，搅拌过程无粉尘产生），然后投入注塑机中，对混合原料进行加热，使其熔融，熔融温度控制在120℃左右；接下来按照工艺要求将熔融状态的颗粒原料注入模具中进行压坯，模具坯子都是一半，需要合模将两个半瓶坯合成一个完整的瓶子形状，然后在使用压缩空气进行吹塑。原料的加热熔融温度尚未达到原料的分解温度；待吹塑冷却完成后（冷却为循环水冷却）后进行开模、修饰（修饰即去掉瓶子的毛边），最后包装入库。修饰工序产生的边角料回收再次利用。</w:t>
            </w:r>
          </w:p>
          <w:p>
            <w:pPr>
              <w:spacing w:before="120" w:beforeLines="50"/>
              <w:rPr>
                <w:rFonts w:hint="default" w:ascii="Times New Roman" w:hAnsi="Times New Roman" w:cs="Times New Roman"/>
                <w:b/>
                <w:bCs/>
                <w:sz w:val="28"/>
              </w:rPr>
            </w:pPr>
            <w:r>
              <w:rPr>
                <w:rFonts w:hint="default" w:ascii="Times New Roman" w:hAnsi="Times New Roman" w:cs="Times New Roman"/>
                <w:b/>
                <w:bCs/>
                <w:sz w:val="28"/>
              </w:rPr>
              <w:t>主要污染工序：</w:t>
            </w:r>
          </w:p>
          <w:p>
            <w:pPr>
              <w:rPr>
                <w:rFonts w:hint="default" w:ascii="Times New Roman" w:hAnsi="Times New Roman" w:cs="Times New Roman"/>
                <w:b/>
              </w:rPr>
            </w:pPr>
            <w:r>
              <w:rPr>
                <w:rFonts w:hint="default" w:ascii="Times New Roman" w:hAnsi="Times New Roman" w:cs="Times New Roman"/>
                <w:b/>
              </w:rPr>
              <w:t>一、运营期污染源分析</w:t>
            </w:r>
          </w:p>
          <w:p>
            <w:pPr>
              <w:pStyle w:val="44"/>
              <w:ind w:firstLine="476"/>
              <w:rPr>
                <w:rFonts w:hint="default" w:ascii="Times New Roman" w:hAnsi="Times New Roman" w:cs="Times New Roman"/>
              </w:rPr>
            </w:pPr>
            <w:r>
              <w:rPr>
                <w:rFonts w:hint="default" w:ascii="Times New Roman" w:hAnsi="Times New Roman" w:cs="Times New Roman"/>
              </w:rPr>
              <w:t>本项目运营过程中产生的主要污染物为熔融吹塑废气、员工生活废水、设备生产噪声、修饰产生的边角料及员工生活垃圾。项目运营运营过程污染源及污染因子识别见下表。</w:t>
            </w:r>
          </w:p>
          <w:p>
            <w:pPr>
              <w:pStyle w:val="44"/>
              <w:spacing w:line="240" w:lineRule="auto"/>
              <w:ind w:firstLine="418"/>
              <w:jc w:val="center"/>
              <w:rPr>
                <w:rFonts w:hint="default" w:ascii="Times New Roman" w:hAnsi="Times New Roman" w:cs="Times New Roman"/>
                <w:b/>
                <w:sz w:val="21"/>
              </w:rPr>
            </w:pPr>
            <w:r>
              <w:rPr>
                <w:rFonts w:hint="default" w:ascii="Times New Roman" w:hAnsi="Times New Roman" w:cs="Times New Roman"/>
                <w:b/>
                <w:sz w:val="21"/>
              </w:rPr>
              <w:t>表1.1    污染源与污染因子识别表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479"/>
              <w:gridCol w:w="3480"/>
              <w:gridCol w:w="348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污染物</w:t>
                  </w:r>
                </w:p>
              </w:tc>
              <w:tc>
                <w:tcPr>
                  <w:tcW w:w="348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污染源</w:t>
                  </w:r>
                </w:p>
              </w:tc>
              <w:tc>
                <w:tcPr>
                  <w:tcW w:w="3480" w:type="dxa"/>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污染因子</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废气</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熔融吹塑（G1）</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非甲烷总烃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破碎工序（G2）</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粉尘</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废水</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员工生活废水</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COD</w:t>
                  </w:r>
                  <w:r>
                    <w:rPr>
                      <w:rFonts w:hint="default" w:ascii="Times New Roman" w:hAnsi="Times New Roman" w:cs="Times New Roman"/>
                      <w:sz w:val="21"/>
                      <w:vertAlign w:val="subscript"/>
                    </w:rPr>
                    <w:t>cr</w:t>
                  </w:r>
                  <w:r>
                    <w:rPr>
                      <w:rFonts w:hint="default" w:ascii="Times New Roman" w:hAnsi="Times New Roman" w:cs="Times New Roman"/>
                      <w:sz w:val="21"/>
                    </w:rPr>
                    <w:t>、氨氮、BOD</w:t>
                  </w:r>
                  <w:r>
                    <w:rPr>
                      <w:rFonts w:hint="default" w:ascii="Times New Roman" w:hAnsi="Times New Roman" w:cs="Times New Roman"/>
                      <w:sz w:val="21"/>
                      <w:vertAlign w:val="subscript"/>
                    </w:rPr>
                    <w:t>5</w:t>
                  </w:r>
                  <w:r>
                    <w:rPr>
                      <w:rFonts w:hint="default" w:ascii="Times New Roman" w:hAnsi="Times New Roman" w:cs="Times New Roman"/>
                      <w:sz w:val="21"/>
                    </w:rPr>
                    <w:t>、SS</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噪声</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生产设备运行（N</w:t>
                  </w:r>
                  <w:r>
                    <w:rPr>
                      <w:rFonts w:hint="default" w:ascii="Times New Roman" w:hAnsi="Times New Roman" w:cs="Times New Roman"/>
                      <w:sz w:val="21"/>
                      <w:vertAlign w:val="subscript"/>
                    </w:rPr>
                    <w:t>1</w:t>
                  </w:r>
                  <w:r>
                    <w:rPr>
                      <w:rFonts w:hint="default" w:ascii="Times New Roman" w:hAnsi="Times New Roman" w:cs="Times New Roman"/>
                      <w:sz w:val="21"/>
                    </w:rPr>
                    <w:t>-N</w:t>
                  </w:r>
                  <w:r>
                    <w:rPr>
                      <w:rFonts w:hint="default" w:ascii="Times New Roman" w:hAnsi="Times New Roman" w:cs="Times New Roman"/>
                      <w:sz w:val="21"/>
                      <w:vertAlign w:val="subscript"/>
                    </w:rPr>
                    <w:t>5</w:t>
                  </w:r>
                  <w:r>
                    <w:rPr>
                      <w:rFonts w:hint="default" w:ascii="Times New Roman" w:hAnsi="Times New Roman" w:cs="Times New Roman"/>
                      <w:sz w:val="21"/>
                    </w:rPr>
                    <w:t>）</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噪声</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vMerge w:val="restart"/>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固体废物</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修饰工序</w:t>
                  </w: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边角料</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3480" w:type="dxa"/>
                  <w:vAlign w:val="center"/>
                </w:tcPr>
                <w:p>
                  <w:pPr>
                    <w:pStyle w:val="44"/>
                    <w:spacing w:line="240" w:lineRule="auto"/>
                    <w:ind w:firstLine="0" w:firstLineChars="0"/>
                    <w:jc w:val="center"/>
                    <w:rPr>
                      <w:rFonts w:hint="default" w:ascii="Times New Roman" w:hAnsi="Times New Roman" w:cs="Times New Roman"/>
                      <w:sz w:val="21"/>
                    </w:rPr>
                  </w:pPr>
                  <w:r>
                    <w:rPr>
                      <w:rFonts w:hint="default" w:ascii="Times New Roman" w:hAnsi="Times New Roman" w:cs="Times New Roman"/>
                      <w:sz w:val="21"/>
                    </w:rPr>
                    <w:t>办公生活</w:t>
                  </w:r>
                </w:p>
              </w:tc>
              <w:tc>
                <w:tcPr>
                  <w:tcW w:w="3480" w:type="dxa"/>
                  <w:vAlign w:val="center"/>
                </w:tcPr>
                <w:p>
                  <w:pPr>
                    <w:pStyle w:val="44"/>
                    <w:spacing w:line="240" w:lineRule="auto"/>
                    <w:ind w:firstLine="0" w:firstLineChars="0"/>
                    <w:jc w:val="center"/>
                    <w:rPr>
                      <w:rFonts w:hint="default" w:ascii="Times New Roman" w:hAnsi="Times New Roman" w:cs="Times New Roman"/>
                      <w:sz w:val="21"/>
                      <w:highlight w:val="none"/>
                    </w:rPr>
                  </w:pPr>
                  <w:r>
                    <w:rPr>
                      <w:rFonts w:hint="default" w:ascii="Times New Roman" w:hAnsi="Times New Roman" w:cs="Times New Roman"/>
                      <w:sz w:val="21"/>
                      <w:highlight w:val="none"/>
                    </w:rPr>
                    <w:t>生活垃圾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79" w:type="dxa"/>
                  <w:vMerge w:val="continue"/>
                  <w:vAlign w:val="center"/>
                </w:tcPr>
                <w:p>
                  <w:pPr>
                    <w:pStyle w:val="44"/>
                    <w:spacing w:line="240" w:lineRule="auto"/>
                    <w:ind w:firstLine="0" w:firstLineChars="0"/>
                    <w:jc w:val="center"/>
                    <w:rPr>
                      <w:rFonts w:hint="default" w:ascii="Times New Roman" w:hAnsi="Times New Roman" w:cs="Times New Roman"/>
                      <w:sz w:val="21"/>
                    </w:rPr>
                  </w:pPr>
                </w:p>
              </w:tc>
              <w:tc>
                <w:tcPr>
                  <w:tcW w:w="3480" w:type="dxa"/>
                  <w:vAlign w:val="center"/>
                </w:tcPr>
                <w:p>
                  <w:pPr>
                    <w:pStyle w:val="44"/>
                    <w:spacing w:line="240" w:lineRule="auto"/>
                    <w:ind w:firstLine="0" w:firstLineChars="0"/>
                    <w:jc w:val="center"/>
                    <w:rPr>
                      <w:rFonts w:hint="eastAsia" w:ascii="Times New Roman" w:hAnsi="Times New Roman" w:eastAsia="宋体" w:cs="Times New Roman"/>
                      <w:sz w:val="21"/>
                      <w:lang w:eastAsia="zh-CN"/>
                    </w:rPr>
                  </w:pPr>
                  <w:r>
                    <w:rPr>
                      <w:rFonts w:hint="eastAsia" w:cs="Times New Roman"/>
                      <w:sz w:val="21"/>
                      <w:lang w:eastAsia="zh-CN"/>
                    </w:rPr>
                    <w:t>生产区</w:t>
                  </w:r>
                </w:p>
              </w:tc>
              <w:tc>
                <w:tcPr>
                  <w:tcW w:w="3480" w:type="dxa"/>
                  <w:vAlign w:val="center"/>
                </w:tcPr>
                <w:p>
                  <w:pPr>
                    <w:pStyle w:val="44"/>
                    <w:spacing w:line="240" w:lineRule="auto"/>
                    <w:ind w:firstLine="0" w:firstLineChars="0"/>
                    <w:jc w:val="center"/>
                    <w:rPr>
                      <w:rFonts w:hint="eastAsia" w:ascii="Times New Roman" w:hAnsi="Times New Roman" w:eastAsia="宋体" w:cs="Times New Roman"/>
                      <w:sz w:val="21"/>
                      <w:highlight w:val="none"/>
                      <w:lang w:eastAsia="zh-CN"/>
                    </w:rPr>
                  </w:pPr>
                  <w:r>
                    <w:rPr>
                      <w:rFonts w:hint="eastAsia" w:cs="Times New Roman"/>
                      <w:sz w:val="21"/>
                      <w:highlight w:val="none"/>
                      <w:lang w:eastAsia="zh-CN"/>
                    </w:rPr>
                    <w:t>废润滑油</w:t>
                  </w:r>
                </w:p>
              </w:tc>
            </w:tr>
          </w:tbl>
          <w:p>
            <w:pPr>
              <w:pStyle w:val="44"/>
              <w:wordWrap/>
              <w:ind w:firstLine="476"/>
              <w:rPr>
                <w:rFonts w:hint="default" w:ascii="Times New Roman" w:hAnsi="Times New Roman" w:cs="Times New Roman"/>
              </w:rPr>
            </w:pPr>
            <w:r>
              <w:rPr>
                <w:rFonts w:hint="default" w:ascii="Times New Roman" w:hAnsi="Times New Roman" w:cs="Times New Roman"/>
              </w:rPr>
              <w:t>1、废气</w:t>
            </w:r>
          </w:p>
          <w:p>
            <w:pPr>
              <w:ind w:firstLine="480" w:firstLineChars="200"/>
              <w:rPr>
                <w:rFonts w:hint="default" w:ascii="Times New Roman" w:hAnsi="Times New Roman" w:cs="Times New Roman"/>
              </w:rPr>
            </w:pPr>
            <w:r>
              <w:rPr>
                <w:rFonts w:hint="default" w:ascii="Times New Roman" w:hAnsi="Times New Roman" w:cs="Times New Roman"/>
              </w:rPr>
              <w:t>（1）熔融吹塑废气</w:t>
            </w:r>
          </w:p>
          <w:p>
            <w:pPr>
              <w:ind w:firstLine="480" w:firstLineChars="200"/>
              <w:rPr>
                <w:rFonts w:hint="default" w:ascii="Times New Roman" w:hAnsi="Times New Roman" w:cs="Times New Roman"/>
              </w:rPr>
            </w:pPr>
            <w:r>
              <w:rPr>
                <w:rFonts w:hint="default" w:ascii="Times New Roman" w:hAnsi="Times New Roman" w:cs="Times New Roman"/>
              </w:rPr>
              <w:t>项目生产以高密度聚乙烯（HDPE）为原料，以色母粒为辅料，高密度聚乙烯和色母粒均为原生塑料颗粒。熔融吹塑废气主要产生于熔融、吹塑工序，生产温度温度控制在120℃左右，未达到其分解温度（分解温度大于300℃），不会导致原料的分解，熔融吹塑废气主要成分为非甲烷总烃。参考《空气污染物排放和控制手册》（美国环境保护局编）“第十三章塑料”中推荐的废气排放系数（非甲烷总烃的排放系数为0.35kg/t），并参考国内同类行业相关经验，确定本项目非甲烷总烃的排放系数为0.5kg/t。本项目原材料使用量为240t/a，生产过程中非甲烷总烃产生量为0.12t/a，产生速率为0.017kg/h（年生产300天，实行3班制，每班工作8小时）。</w:t>
            </w:r>
          </w:p>
          <w:p>
            <w:pPr>
              <w:ind w:firstLine="480" w:firstLineChars="200"/>
              <w:rPr>
                <w:rFonts w:hint="default" w:ascii="Times New Roman" w:hAnsi="Times New Roman" w:cs="Times New Roman"/>
              </w:rPr>
            </w:pPr>
            <w:r>
              <w:rPr>
                <w:rFonts w:hint="default" w:ascii="Times New Roman" w:hAnsi="Times New Roman" w:cs="Times New Roman"/>
              </w:rPr>
              <w:t>本项目采取集尘罩、光氧催化设备对熔融吹塑废气进行收集处理，然后通过15m高烟囱排放，集尘罩收集效率为90%，光氧催化设备处理效率为40%，配套风机风量为5000m³/h。则有组织熔融吹塑废气排放率为0.00918kg/h，排放浓度为1.84mg/m³，无组织熔融吹塑废气排放速率为0.0017kg/h。</w:t>
            </w:r>
          </w:p>
          <w:p>
            <w:pPr>
              <w:ind w:firstLine="480" w:firstLineChars="200"/>
              <w:rPr>
                <w:rFonts w:hint="default" w:ascii="Times New Roman" w:hAnsi="Times New Roman" w:cs="Times New Roman"/>
              </w:rPr>
            </w:pPr>
            <w:r>
              <w:rPr>
                <w:rFonts w:hint="default" w:ascii="Times New Roman" w:hAnsi="Times New Roman" w:cs="Times New Roman"/>
              </w:rPr>
              <w:t>（2）破碎粉尘</w:t>
            </w:r>
          </w:p>
          <w:p>
            <w:pPr>
              <w:ind w:firstLine="480" w:firstLineChars="200"/>
              <w:rPr>
                <w:rFonts w:hint="default" w:ascii="Times New Roman" w:hAnsi="Times New Roman" w:cs="Times New Roman"/>
              </w:rPr>
            </w:pPr>
            <w:r>
              <w:rPr>
                <w:rFonts w:hint="default" w:ascii="Times New Roman" w:hAnsi="Times New Roman" w:cs="Times New Roman"/>
              </w:rPr>
              <w:t>本项目产品修饰工序产生的边角料经破碎后作为原料重新用于生产，生产过程产生边角料2.4t/a，项目使用破碎机为密闭设备，仅有少量破碎粉尘散逸。</w:t>
            </w:r>
          </w:p>
          <w:p>
            <w:pPr>
              <w:pStyle w:val="44"/>
              <w:wordWrap/>
              <w:ind w:firstLine="476"/>
              <w:rPr>
                <w:rFonts w:hint="default" w:ascii="Times New Roman" w:hAnsi="Times New Roman" w:cs="Times New Roman"/>
              </w:rPr>
            </w:pPr>
            <w:r>
              <w:rPr>
                <w:rFonts w:hint="default" w:ascii="Times New Roman" w:hAnsi="Times New Roman" w:cs="Times New Roman"/>
              </w:rPr>
              <w:t>2、废水</w:t>
            </w:r>
          </w:p>
          <w:p>
            <w:pPr>
              <w:rPr>
                <w:rFonts w:hint="default" w:ascii="Times New Roman" w:hAnsi="Times New Roman" w:cs="Times New Roman"/>
              </w:rPr>
            </w:pPr>
            <w:r>
              <w:rPr>
                <w:rFonts w:hint="default" w:ascii="Times New Roman" w:hAnsi="Times New Roman" w:cs="Times New Roman"/>
              </w:rPr>
              <w:t xml:space="preserve">       本项目员工生活废水产生量为233.6m³/a，由园区污水管网运至当地污水处理厂进行处理。</w:t>
            </w:r>
          </w:p>
          <w:p>
            <w:pPr>
              <w:pStyle w:val="44"/>
              <w:wordWrap/>
              <w:ind w:firstLine="476"/>
              <w:rPr>
                <w:rFonts w:hint="default" w:ascii="Times New Roman" w:hAnsi="Times New Roman" w:cs="Times New Roman"/>
              </w:rPr>
            </w:pPr>
            <w:r>
              <w:rPr>
                <w:rFonts w:hint="default" w:ascii="Times New Roman" w:hAnsi="Times New Roman" w:cs="Times New Roman"/>
              </w:rPr>
              <w:t>3、噪声</w:t>
            </w:r>
          </w:p>
          <w:p>
            <w:pPr>
              <w:pStyle w:val="44"/>
              <w:wordWrap/>
              <w:ind w:firstLine="476"/>
              <w:rPr>
                <w:rFonts w:hint="default" w:ascii="Times New Roman" w:hAnsi="Times New Roman" w:cs="Times New Roman"/>
              </w:rPr>
            </w:pPr>
            <w:r>
              <w:rPr>
                <w:rFonts w:hint="default" w:ascii="Times New Roman" w:hAnsi="Times New Roman" w:cs="Times New Roman"/>
              </w:rPr>
              <w:t>项目生产噪声主要是生产设备运行产生的机械噪声，类比同行业相关经验，本项目生产噪声源强在70~90dB（A）之间，项目噪声源强见下表。</w:t>
            </w:r>
          </w:p>
          <w:p>
            <w:pPr>
              <w:pStyle w:val="44"/>
              <w:wordWrap/>
              <w:ind w:firstLine="476"/>
              <w:rPr>
                <w:rFonts w:hint="default" w:ascii="Times New Roman" w:hAnsi="Times New Roman" w:cs="Times New Roman"/>
              </w:rPr>
            </w:pPr>
          </w:p>
          <w:p>
            <w:pPr>
              <w:pStyle w:val="44"/>
              <w:wordWrap/>
              <w:spacing w:line="240" w:lineRule="auto"/>
              <w:ind w:firstLine="418"/>
              <w:jc w:val="center"/>
              <w:rPr>
                <w:rFonts w:hint="default" w:ascii="Times New Roman" w:hAnsi="Times New Roman" w:cs="Times New Roman"/>
                <w:b/>
                <w:sz w:val="21"/>
              </w:rPr>
            </w:pPr>
            <w:r>
              <w:rPr>
                <w:rFonts w:hint="default" w:ascii="Times New Roman" w:hAnsi="Times New Roman" w:cs="Times New Roman"/>
                <w:b/>
                <w:sz w:val="21"/>
              </w:rPr>
              <w:t>表3-1    项目主要噪声源强一栏表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4253"/>
              <w:gridCol w:w="445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序号</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噪声源名称</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噪声级dB（A）</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1</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混料机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70-80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2</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注塑机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70-80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3</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吹塑机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70-80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气泵</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80-90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5</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破碎机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80-90</w:t>
                  </w:r>
                </w:p>
              </w:tc>
            </w:tr>
          </w:tbl>
          <w:p>
            <w:pPr>
              <w:pStyle w:val="44"/>
              <w:wordWrap/>
              <w:ind w:firstLine="476"/>
              <w:rPr>
                <w:rFonts w:hint="default" w:ascii="Times New Roman" w:hAnsi="Times New Roman" w:cs="Times New Roman"/>
              </w:rPr>
            </w:pPr>
            <w:r>
              <w:rPr>
                <w:rFonts w:hint="default" w:ascii="Times New Roman" w:hAnsi="Times New Roman" w:cs="Times New Roman"/>
              </w:rPr>
              <w:t>4、固体废物</w:t>
            </w:r>
          </w:p>
          <w:p>
            <w:pPr>
              <w:pStyle w:val="44"/>
              <w:wordWrap/>
              <w:ind w:firstLine="476"/>
              <w:rPr>
                <w:rFonts w:hint="default" w:ascii="Times New Roman" w:hAnsi="Times New Roman" w:cs="Times New Roman"/>
              </w:rPr>
            </w:pPr>
            <w:r>
              <w:rPr>
                <w:rFonts w:hint="default" w:ascii="Times New Roman" w:hAnsi="Times New Roman" w:cs="Times New Roman"/>
              </w:rPr>
              <w:t>项目运营期间固体废物主要为产品修饰工序产生的边角料</w:t>
            </w:r>
            <w:r>
              <w:rPr>
                <w:rFonts w:hint="eastAsia" w:cs="Times New Roman"/>
                <w:lang w:eastAsia="zh-CN"/>
              </w:rPr>
              <w:t>、</w:t>
            </w:r>
            <w:r>
              <w:rPr>
                <w:rFonts w:hint="default" w:ascii="Times New Roman" w:hAnsi="Times New Roman" w:cs="Times New Roman"/>
              </w:rPr>
              <w:t>办公生活产生的生活垃圾</w:t>
            </w:r>
            <w:r>
              <w:rPr>
                <w:rFonts w:hint="eastAsia" w:cs="Times New Roman"/>
                <w:lang w:eastAsia="zh-CN"/>
              </w:rPr>
              <w:t>及废弃润滑油</w:t>
            </w:r>
            <w:r>
              <w:rPr>
                <w:rFonts w:hint="default" w:ascii="Times New Roman" w:hAnsi="Times New Roman" w:cs="Times New Roman"/>
              </w:rPr>
              <w:t>。</w:t>
            </w:r>
          </w:p>
          <w:p>
            <w:pPr>
              <w:pStyle w:val="44"/>
              <w:wordWrap/>
              <w:ind w:firstLine="476"/>
              <w:rPr>
                <w:rFonts w:hint="default" w:ascii="Times New Roman" w:hAnsi="Times New Roman" w:cs="Times New Roman"/>
              </w:rPr>
            </w:pPr>
            <w:r>
              <w:rPr>
                <w:rFonts w:hint="default" w:ascii="Times New Roman" w:hAnsi="Times New Roman" w:cs="Times New Roman"/>
              </w:rPr>
              <w:t>（1）边角料</w:t>
            </w:r>
          </w:p>
          <w:p>
            <w:pPr>
              <w:pStyle w:val="44"/>
              <w:wordWrap/>
              <w:ind w:firstLine="476"/>
              <w:rPr>
                <w:rFonts w:hint="default" w:ascii="Times New Roman" w:hAnsi="Times New Roman" w:cs="Times New Roman"/>
              </w:rPr>
            </w:pPr>
            <w:r>
              <w:rPr>
                <w:rFonts w:hint="default" w:ascii="Times New Roman" w:hAnsi="Times New Roman" w:cs="Times New Roman"/>
              </w:rPr>
              <w:t>项目产品修饰工序会产生边角料，产生量为2.4t/a，边角料作为生产原料回用于生产。</w:t>
            </w:r>
          </w:p>
          <w:p>
            <w:pPr>
              <w:pStyle w:val="44"/>
              <w:wordWrap/>
              <w:ind w:firstLine="476"/>
              <w:rPr>
                <w:rFonts w:hint="default" w:ascii="Times New Roman" w:hAnsi="Times New Roman" w:cs="Times New Roman"/>
              </w:rPr>
            </w:pPr>
            <w:r>
              <w:rPr>
                <w:rFonts w:hint="default" w:ascii="Times New Roman" w:hAnsi="Times New Roman" w:cs="Times New Roman"/>
              </w:rPr>
              <w:t>（2）生活垃圾</w:t>
            </w:r>
          </w:p>
          <w:p>
            <w:pPr>
              <w:pStyle w:val="44"/>
              <w:wordWrap/>
              <w:ind w:firstLine="476"/>
              <w:rPr>
                <w:rFonts w:hint="default" w:ascii="Times New Roman" w:hAnsi="Times New Roman" w:cs="Times New Roman"/>
              </w:rPr>
            </w:pPr>
            <w:r>
              <w:rPr>
                <w:rFonts w:hint="default" w:ascii="Times New Roman" w:hAnsi="Times New Roman" w:cs="Times New Roman"/>
              </w:rPr>
              <w:t>本项目劳动定员16人，生活垃圾按0.5kg/人·d计算，则本项目生活垃圾产生量为2.92t/a。本环评要求设置垃圾箱对生活垃圾统一收集，定期交由当地环卫部门进行处理。</w:t>
            </w:r>
          </w:p>
          <w:p>
            <w:pPr>
              <w:widowControl/>
              <w:numPr>
                <w:ilvl w:val="0"/>
                <w:numId w:val="1"/>
              </w:numPr>
              <w:ind w:firstLine="480" w:firstLineChars="200"/>
              <w:rPr>
                <w:rFonts w:hint="eastAsia" w:cs="Times New Roman"/>
                <w:kern w:val="0"/>
                <w:lang w:eastAsia="zh-CN"/>
              </w:rPr>
            </w:pPr>
            <w:r>
              <w:rPr>
                <w:rFonts w:hint="eastAsia" w:cs="Times New Roman"/>
                <w:kern w:val="0"/>
                <w:lang w:eastAsia="zh-CN"/>
              </w:rPr>
              <w:t>废弃润滑油</w:t>
            </w:r>
          </w:p>
          <w:p>
            <w:pPr>
              <w:pStyle w:val="44"/>
              <w:wordWrap/>
              <w:ind w:firstLine="476"/>
              <w:rPr>
                <w:rFonts w:hint="default" w:ascii="Times New Roman" w:hAnsi="Times New Roman" w:cs="Times New Roman"/>
              </w:rPr>
            </w:pPr>
            <w:r>
              <w:rPr>
                <w:rFonts w:hint="default" w:ascii="Times New Roman" w:hAnsi="Times New Roman" w:cs="Times New Roman"/>
              </w:rPr>
              <w:t>本项目生产过程中使用的机械设备需定期更换润滑油以保证设备正常运转，预计每年需更换润滑油</w:t>
            </w:r>
            <w:r>
              <w:rPr>
                <w:rFonts w:hint="eastAsia" w:cs="Times New Roman"/>
                <w:lang w:eastAsia="zh-CN"/>
              </w:rPr>
              <w:t>约</w:t>
            </w:r>
            <w:r>
              <w:rPr>
                <w:rFonts w:hint="eastAsia" w:cs="Times New Roman"/>
                <w:lang w:val="en-US" w:eastAsia="zh-CN"/>
              </w:rPr>
              <w:t>1</w:t>
            </w:r>
            <w:r>
              <w:rPr>
                <w:rFonts w:hint="default" w:ascii="Times New Roman" w:hAnsi="Times New Roman" w:cs="Times New Roman"/>
              </w:rPr>
              <w:t>0kg。</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cs="Times New Roman"/>
              </w:rPr>
            </w:pPr>
          </w:p>
        </w:tc>
      </w:tr>
    </w:tbl>
    <w:p>
      <w:pPr>
        <w:spacing w:line="240" w:lineRule="auto"/>
        <w:rPr>
          <w:rFonts w:hint="default" w:ascii="Times New Roman" w:hAnsi="Times New Roman" w:cs="Times New Roman"/>
          <w:b/>
          <w:sz w:val="32"/>
          <w:szCs w:val="32"/>
        </w:rPr>
      </w:pPr>
      <w:bookmarkStart w:id="0" w:name="_Toc359596323"/>
      <w:bookmarkStart w:id="1" w:name="_Toc418517488"/>
      <w:bookmarkStart w:id="2" w:name="_Toc356126578"/>
      <w:r>
        <w:rPr>
          <w:rFonts w:hint="default" w:ascii="Times New Roman" w:hAnsi="Times New Roman" w:cs="Times New Roman"/>
          <w:b/>
          <w:sz w:val="32"/>
          <w:szCs w:val="32"/>
        </w:rPr>
        <w:t>项目主要污染物产生及预计排放情况</w:t>
      </w:r>
      <w:bookmarkEnd w:id="0"/>
      <w:bookmarkEnd w:id="1"/>
      <w:bookmarkEnd w:id="2"/>
    </w:p>
    <w:tbl>
      <w:tblPr>
        <w:tblStyle w:val="15"/>
        <w:tblW w:w="1063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0"/>
        <w:gridCol w:w="863"/>
        <w:gridCol w:w="950"/>
        <w:gridCol w:w="1985"/>
        <w:gridCol w:w="212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tcBorders>
              <w:bottom w:val="single" w:color="auto" w:sz="4" w:space="0"/>
              <w:tl2br w:val="single" w:color="auto" w:sz="4" w:space="0"/>
            </w:tcBorders>
            <w:vAlign w:val="center"/>
          </w:tcPr>
          <w:p>
            <w:pPr>
              <w:spacing w:line="240" w:lineRule="auto"/>
              <w:jc w:val="center"/>
              <w:rPr>
                <w:rFonts w:hint="default" w:ascii="Times New Roman" w:hAnsi="Times New Roman" w:cs="Times New Roman"/>
                <w:b/>
                <w:szCs w:val="24"/>
              </w:rPr>
            </w:pPr>
            <w:r>
              <w:rPr>
                <w:rFonts w:hint="default" w:ascii="Times New Roman" w:hAnsi="Times New Roman" w:cs="Times New Roman"/>
              </w:rPr>
              <w:t xml:space="preserve">                 </w:t>
            </w:r>
            <w:r>
              <w:rPr>
                <w:rFonts w:hint="default" w:ascii="Times New Roman" w:hAnsi="Times New Roman" w:cs="Times New Roman"/>
                <w:b/>
                <w:szCs w:val="24"/>
              </w:rPr>
              <w:t xml:space="preserve">  内容</w:t>
            </w:r>
          </w:p>
          <w:p>
            <w:pPr>
              <w:spacing w:line="240" w:lineRule="auto"/>
              <w:ind w:firstLine="482" w:firstLineChars="200"/>
              <w:rPr>
                <w:rFonts w:hint="default" w:ascii="Times New Roman" w:hAnsi="Times New Roman" w:cs="Times New Roman"/>
                <w:b/>
              </w:rPr>
            </w:pPr>
            <w:r>
              <w:rPr>
                <w:rFonts w:hint="default" w:ascii="Times New Roman" w:hAnsi="Times New Roman" w:cs="Times New Roman"/>
                <w:b/>
              </w:rPr>
              <w:t>类型</w:t>
            </w:r>
          </w:p>
        </w:tc>
        <w:tc>
          <w:tcPr>
            <w:tcW w:w="1813" w:type="dxa"/>
            <w:gridSpan w:val="2"/>
            <w:vAlign w:val="center"/>
          </w:tcPr>
          <w:p>
            <w:pPr>
              <w:spacing w:before="120" w:beforeLines="50" w:line="240" w:lineRule="auto"/>
              <w:jc w:val="center"/>
              <w:rPr>
                <w:rFonts w:hint="default" w:ascii="Times New Roman" w:hAnsi="Times New Roman" w:cs="Times New Roman"/>
                <w:b/>
                <w:szCs w:val="24"/>
              </w:rPr>
            </w:pPr>
            <w:r>
              <w:rPr>
                <w:rFonts w:hint="default" w:ascii="Times New Roman" w:hAnsi="Times New Roman" w:cs="Times New Roman"/>
                <w:b/>
                <w:szCs w:val="24"/>
              </w:rPr>
              <w:t>排放源</w:t>
            </w:r>
          </w:p>
          <w:p>
            <w:pPr>
              <w:jc w:val="center"/>
              <w:rPr>
                <w:rFonts w:hint="default" w:ascii="Times New Roman" w:hAnsi="Times New Roman" w:cs="Times New Roman"/>
              </w:rPr>
            </w:pPr>
            <w:r>
              <w:rPr>
                <w:rFonts w:hint="default" w:ascii="Times New Roman" w:hAnsi="Times New Roman" w:cs="Times New Roman"/>
                <w:b/>
                <w:szCs w:val="24"/>
              </w:rPr>
              <w:t>（编号）</w:t>
            </w:r>
          </w:p>
        </w:tc>
        <w:tc>
          <w:tcPr>
            <w:tcW w:w="1985" w:type="dxa"/>
            <w:vAlign w:val="center"/>
          </w:tcPr>
          <w:p>
            <w:pPr>
              <w:spacing w:before="120" w:beforeLines="50" w:line="240" w:lineRule="auto"/>
              <w:jc w:val="center"/>
              <w:rPr>
                <w:rFonts w:hint="default" w:ascii="Times New Roman" w:hAnsi="Times New Roman" w:cs="Times New Roman"/>
              </w:rPr>
            </w:pPr>
            <w:r>
              <w:rPr>
                <w:rFonts w:hint="default" w:ascii="Times New Roman" w:hAnsi="Times New Roman" w:cs="Times New Roman"/>
                <w:b/>
                <w:szCs w:val="24"/>
              </w:rPr>
              <w:t>污染物名称</w:t>
            </w:r>
          </w:p>
        </w:tc>
        <w:tc>
          <w:tcPr>
            <w:tcW w:w="2126" w:type="dxa"/>
            <w:vAlign w:val="center"/>
          </w:tcPr>
          <w:p>
            <w:pPr>
              <w:spacing w:line="240" w:lineRule="auto"/>
              <w:jc w:val="center"/>
              <w:rPr>
                <w:rFonts w:hint="default" w:ascii="Times New Roman" w:hAnsi="Times New Roman" w:cs="Times New Roman"/>
                <w:b/>
                <w:szCs w:val="24"/>
              </w:rPr>
            </w:pPr>
            <w:r>
              <w:rPr>
                <w:rFonts w:hint="default" w:ascii="Times New Roman" w:hAnsi="Times New Roman" w:cs="Times New Roman"/>
                <w:b/>
                <w:szCs w:val="24"/>
              </w:rPr>
              <w:t>产生浓度及产生量（单位）</w:t>
            </w:r>
          </w:p>
        </w:tc>
        <w:tc>
          <w:tcPr>
            <w:tcW w:w="2268" w:type="dxa"/>
            <w:vAlign w:val="center"/>
          </w:tcPr>
          <w:p>
            <w:pPr>
              <w:spacing w:line="240" w:lineRule="auto"/>
              <w:jc w:val="center"/>
              <w:rPr>
                <w:rFonts w:hint="default" w:ascii="Times New Roman" w:hAnsi="Times New Roman" w:cs="Times New Roman"/>
                <w:b/>
                <w:szCs w:val="24"/>
              </w:rPr>
            </w:pPr>
            <w:r>
              <w:rPr>
                <w:rFonts w:hint="default" w:ascii="Times New Roman" w:hAnsi="Times New Roman" w:cs="Times New Roman"/>
                <w:b/>
                <w:szCs w:val="24"/>
              </w:rPr>
              <w:t>排放浓度及排放量</w:t>
            </w:r>
          </w:p>
          <w:p>
            <w:pPr>
              <w:spacing w:line="240" w:lineRule="auto"/>
              <w:jc w:val="center"/>
              <w:rPr>
                <w:rFonts w:hint="default" w:ascii="Times New Roman" w:hAnsi="Times New Roman" w:cs="Times New Roman"/>
                <w:b/>
                <w:szCs w:val="24"/>
              </w:rPr>
            </w:pPr>
            <w:r>
              <w:rPr>
                <w:rFonts w:hint="default" w:ascii="Times New Roman" w:hAnsi="Times New Roman" w:cs="Times New Roman"/>
                <w:b/>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vMerge w:val="restart"/>
            <w:tcBorders>
              <w:tl2br w:val="nil"/>
            </w:tcBorders>
            <w:vAlign w:val="center"/>
          </w:tcPr>
          <w:p>
            <w:pPr>
              <w:spacing w:line="240" w:lineRule="auto"/>
              <w:jc w:val="center"/>
              <w:rPr>
                <w:rFonts w:hint="default" w:ascii="Times New Roman" w:hAnsi="Times New Roman" w:cs="Times New Roman"/>
              </w:rPr>
            </w:pPr>
          </w:p>
          <w:p>
            <w:pPr>
              <w:spacing w:line="240" w:lineRule="auto"/>
              <w:jc w:val="center"/>
              <w:rPr>
                <w:rFonts w:hint="default" w:ascii="Times New Roman" w:hAnsi="Times New Roman" w:cs="Times New Roman"/>
              </w:rPr>
            </w:pPr>
            <w:r>
              <w:rPr>
                <w:rFonts w:hint="default" w:ascii="Times New Roman" w:hAnsi="Times New Roman" w:cs="Times New Roman"/>
              </w:rPr>
              <w:t>大</w:t>
            </w:r>
          </w:p>
          <w:p>
            <w:pPr>
              <w:spacing w:line="240" w:lineRule="auto"/>
              <w:jc w:val="center"/>
              <w:rPr>
                <w:rFonts w:hint="default" w:ascii="Times New Roman" w:hAnsi="Times New Roman" w:cs="Times New Roman"/>
              </w:rPr>
            </w:pPr>
            <w:r>
              <w:rPr>
                <w:rFonts w:hint="default" w:ascii="Times New Roman" w:hAnsi="Times New Roman" w:cs="Times New Roman"/>
              </w:rPr>
              <w:t>气</w:t>
            </w:r>
          </w:p>
          <w:p>
            <w:pPr>
              <w:spacing w:line="240" w:lineRule="auto"/>
              <w:jc w:val="center"/>
              <w:rPr>
                <w:rFonts w:hint="default" w:ascii="Times New Roman" w:hAnsi="Times New Roman" w:cs="Times New Roman"/>
              </w:rPr>
            </w:pPr>
            <w:r>
              <w:rPr>
                <w:rFonts w:hint="default" w:ascii="Times New Roman" w:hAnsi="Times New Roman" w:cs="Times New Roman"/>
              </w:rPr>
              <w:t>污</w:t>
            </w:r>
          </w:p>
          <w:p>
            <w:pPr>
              <w:spacing w:line="240" w:lineRule="auto"/>
              <w:jc w:val="center"/>
              <w:rPr>
                <w:rFonts w:hint="default" w:ascii="Times New Roman" w:hAnsi="Times New Roman" w:cs="Times New Roman"/>
              </w:rPr>
            </w:pPr>
            <w:r>
              <w:rPr>
                <w:rFonts w:hint="default" w:ascii="Times New Roman" w:hAnsi="Times New Roman" w:cs="Times New Roman"/>
              </w:rPr>
              <w:t>染</w:t>
            </w:r>
          </w:p>
          <w:p>
            <w:pPr>
              <w:spacing w:line="240" w:lineRule="auto"/>
              <w:jc w:val="center"/>
              <w:rPr>
                <w:rFonts w:hint="default" w:ascii="Times New Roman" w:hAnsi="Times New Roman" w:cs="Times New Roman"/>
              </w:rPr>
            </w:pPr>
            <w:r>
              <w:rPr>
                <w:rFonts w:hint="default" w:ascii="Times New Roman" w:hAnsi="Times New Roman" w:cs="Times New Roman"/>
              </w:rPr>
              <w:t>物</w:t>
            </w:r>
          </w:p>
          <w:p>
            <w:pPr>
              <w:spacing w:line="240" w:lineRule="auto"/>
              <w:jc w:val="center"/>
              <w:rPr>
                <w:rFonts w:hint="default" w:ascii="Times New Roman" w:hAnsi="Times New Roman" w:cs="Times New Roman"/>
              </w:rPr>
            </w:pPr>
          </w:p>
        </w:tc>
        <w:tc>
          <w:tcPr>
            <w:tcW w:w="863" w:type="dxa"/>
            <w:vMerge w:val="restart"/>
            <w:vAlign w:val="center"/>
          </w:tcPr>
          <w:p>
            <w:pPr>
              <w:spacing w:before="120" w:beforeLines="50" w:line="240" w:lineRule="auto"/>
              <w:jc w:val="center"/>
              <w:rPr>
                <w:rFonts w:hint="default" w:ascii="Times New Roman" w:hAnsi="Times New Roman" w:cs="Times New Roman"/>
                <w:szCs w:val="24"/>
              </w:rPr>
            </w:pPr>
            <w:r>
              <w:rPr>
                <w:rFonts w:hint="default" w:ascii="Times New Roman" w:hAnsi="Times New Roman" w:cs="Times New Roman"/>
                <w:szCs w:val="24"/>
              </w:rPr>
              <w:t>熔融吹塑</w:t>
            </w:r>
          </w:p>
        </w:tc>
        <w:tc>
          <w:tcPr>
            <w:tcW w:w="950" w:type="dxa"/>
            <w:vAlign w:val="center"/>
          </w:tcPr>
          <w:p>
            <w:pPr>
              <w:spacing w:before="120" w:beforeLines="50" w:line="240" w:lineRule="auto"/>
              <w:jc w:val="center"/>
              <w:rPr>
                <w:rFonts w:hint="default" w:ascii="Times New Roman" w:hAnsi="Times New Roman" w:cs="Times New Roman"/>
                <w:szCs w:val="24"/>
              </w:rPr>
            </w:pPr>
            <w:r>
              <w:rPr>
                <w:rFonts w:hint="default" w:ascii="Times New Roman" w:hAnsi="Times New Roman" w:cs="Times New Roman"/>
                <w:szCs w:val="24"/>
              </w:rPr>
              <w:t>有组织</w:t>
            </w:r>
          </w:p>
        </w:tc>
        <w:tc>
          <w:tcPr>
            <w:tcW w:w="1985" w:type="dxa"/>
            <w:vMerge w:val="restart"/>
            <w:vAlign w:val="center"/>
          </w:tcPr>
          <w:p>
            <w:pPr>
              <w:spacing w:before="120" w:beforeLines="50" w:line="240" w:lineRule="auto"/>
              <w:jc w:val="center"/>
              <w:rPr>
                <w:rFonts w:hint="default" w:ascii="Times New Roman" w:hAnsi="Times New Roman" w:cs="Times New Roman"/>
                <w:b/>
                <w:szCs w:val="24"/>
                <w:vertAlign w:val="subscript"/>
              </w:rPr>
            </w:pPr>
            <w:r>
              <w:rPr>
                <w:rFonts w:hint="default" w:ascii="Times New Roman" w:hAnsi="Times New Roman" w:cs="Times New Roman"/>
                <w:szCs w:val="24"/>
              </w:rPr>
              <w:t>非甲烷总烃</w:t>
            </w:r>
          </w:p>
        </w:tc>
        <w:tc>
          <w:tcPr>
            <w:tcW w:w="2126" w:type="dxa"/>
            <w:vAlign w:val="center"/>
          </w:tcPr>
          <w:p>
            <w:pPr>
              <w:spacing w:line="240" w:lineRule="auto"/>
              <w:jc w:val="center"/>
              <w:rPr>
                <w:rFonts w:hint="default" w:ascii="Times New Roman" w:hAnsi="Times New Roman" w:cs="Times New Roman"/>
                <w:b/>
                <w:szCs w:val="24"/>
              </w:rPr>
            </w:pPr>
            <w:r>
              <w:rPr>
                <w:rFonts w:hint="default" w:ascii="Times New Roman" w:hAnsi="Times New Roman" w:cs="Times New Roman"/>
              </w:rPr>
              <w:t>0.108t/a</w:t>
            </w:r>
          </w:p>
        </w:tc>
        <w:tc>
          <w:tcPr>
            <w:tcW w:w="2268"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0.0648t/a</w:t>
            </w:r>
          </w:p>
          <w:p>
            <w:pPr>
              <w:spacing w:line="240" w:lineRule="auto"/>
              <w:jc w:val="center"/>
              <w:rPr>
                <w:rFonts w:hint="default" w:ascii="Times New Roman" w:hAnsi="Times New Roman" w:cs="Times New Roman"/>
                <w:b/>
                <w:szCs w:val="24"/>
              </w:rPr>
            </w:pPr>
            <w:r>
              <w:rPr>
                <w:rFonts w:hint="default" w:ascii="Times New Roman" w:hAnsi="Times New Roman" w:cs="Times New Roman"/>
              </w:rPr>
              <w:t>1.84mg/m³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vMerge w:val="continue"/>
            <w:tcBorders>
              <w:tl2br w:val="nil"/>
            </w:tcBorders>
            <w:vAlign w:val="center"/>
          </w:tcPr>
          <w:p>
            <w:pPr>
              <w:spacing w:line="240" w:lineRule="auto"/>
              <w:jc w:val="center"/>
              <w:rPr>
                <w:rFonts w:hint="default" w:ascii="Times New Roman" w:hAnsi="Times New Roman" w:cs="Times New Roman"/>
              </w:rPr>
            </w:pPr>
          </w:p>
        </w:tc>
        <w:tc>
          <w:tcPr>
            <w:tcW w:w="863" w:type="dxa"/>
            <w:vMerge w:val="continue"/>
            <w:vAlign w:val="center"/>
          </w:tcPr>
          <w:p>
            <w:pPr>
              <w:spacing w:before="120" w:beforeLines="50" w:line="240" w:lineRule="auto"/>
              <w:jc w:val="center"/>
              <w:rPr>
                <w:rFonts w:hint="default" w:ascii="Times New Roman" w:hAnsi="Times New Roman" w:cs="Times New Roman"/>
                <w:szCs w:val="24"/>
              </w:rPr>
            </w:pPr>
          </w:p>
        </w:tc>
        <w:tc>
          <w:tcPr>
            <w:tcW w:w="950" w:type="dxa"/>
            <w:vAlign w:val="center"/>
          </w:tcPr>
          <w:p>
            <w:pPr>
              <w:spacing w:before="120" w:beforeLines="50" w:line="240" w:lineRule="auto"/>
              <w:jc w:val="center"/>
              <w:rPr>
                <w:rFonts w:hint="default" w:ascii="Times New Roman" w:hAnsi="Times New Roman" w:cs="Times New Roman"/>
                <w:szCs w:val="24"/>
              </w:rPr>
            </w:pPr>
            <w:r>
              <w:rPr>
                <w:rFonts w:hint="default" w:ascii="Times New Roman" w:hAnsi="Times New Roman" w:cs="Times New Roman"/>
                <w:szCs w:val="24"/>
              </w:rPr>
              <w:t>无组织</w:t>
            </w:r>
          </w:p>
        </w:tc>
        <w:tc>
          <w:tcPr>
            <w:tcW w:w="1985" w:type="dxa"/>
            <w:vMerge w:val="continue"/>
            <w:vAlign w:val="center"/>
          </w:tcPr>
          <w:p>
            <w:pPr>
              <w:spacing w:before="120" w:beforeLines="50" w:line="240" w:lineRule="auto"/>
              <w:jc w:val="center"/>
              <w:rPr>
                <w:rFonts w:hint="default" w:ascii="Times New Roman" w:hAnsi="Times New Roman" w:cs="Times New Roman"/>
                <w:szCs w:val="24"/>
              </w:rPr>
            </w:pPr>
          </w:p>
        </w:tc>
        <w:tc>
          <w:tcPr>
            <w:tcW w:w="2126"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0.012t/a</w:t>
            </w:r>
          </w:p>
        </w:tc>
        <w:tc>
          <w:tcPr>
            <w:tcW w:w="2268"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0.012t/a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vMerge w:val="continue"/>
            <w:tcBorders>
              <w:tl2br w:val="nil"/>
            </w:tcBorders>
            <w:vAlign w:val="center"/>
          </w:tcPr>
          <w:p>
            <w:pPr>
              <w:spacing w:line="240" w:lineRule="auto"/>
              <w:jc w:val="center"/>
              <w:rPr>
                <w:rFonts w:hint="default" w:ascii="Times New Roman" w:hAnsi="Times New Roman" w:cs="Times New Roman"/>
              </w:rPr>
            </w:pPr>
          </w:p>
        </w:tc>
        <w:tc>
          <w:tcPr>
            <w:tcW w:w="1813" w:type="dxa"/>
            <w:gridSpan w:val="2"/>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破碎工序</w:t>
            </w:r>
          </w:p>
        </w:tc>
        <w:tc>
          <w:tcPr>
            <w:tcW w:w="1985" w:type="dxa"/>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破碎粉尘</w:t>
            </w:r>
          </w:p>
        </w:tc>
        <w:tc>
          <w:tcPr>
            <w:tcW w:w="2126"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少量</w:t>
            </w:r>
          </w:p>
        </w:tc>
        <w:tc>
          <w:tcPr>
            <w:tcW w:w="2268"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少量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tcBorders>
              <w:tl2br w:val="nil"/>
            </w:tcBorders>
            <w:vAlign w:val="center"/>
          </w:tcPr>
          <w:p>
            <w:pPr>
              <w:spacing w:line="240" w:lineRule="auto"/>
              <w:jc w:val="center"/>
              <w:rPr>
                <w:rFonts w:hint="default" w:ascii="Times New Roman" w:hAnsi="Times New Roman" w:cs="Times New Roman"/>
              </w:rPr>
            </w:pPr>
          </w:p>
          <w:p>
            <w:pPr>
              <w:spacing w:line="240" w:lineRule="auto"/>
              <w:jc w:val="center"/>
              <w:rPr>
                <w:rFonts w:hint="default" w:ascii="Times New Roman" w:hAnsi="Times New Roman" w:cs="Times New Roman"/>
              </w:rPr>
            </w:pPr>
            <w:r>
              <w:rPr>
                <w:rFonts w:hint="default" w:ascii="Times New Roman" w:hAnsi="Times New Roman" w:cs="Times New Roman"/>
              </w:rPr>
              <w:t>水</w:t>
            </w:r>
          </w:p>
          <w:p>
            <w:pPr>
              <w:spacing w:line="240" w:lineRule="auto"/>
              <w:jc w:val="center"/>
              <w:rPr>
                <w:rFonts w:hint="default" w:ascii="Times New Roman" w:hAnsi="Times New Roman" w:cs="Times New Roman"/>
              </w:rPr>
            </w:pPr>
            <w:r>
              <w:rPr>
                <w:rFonts w:hint="default" w:ascii="Times New Roman" w:hAnsi="Times New Roman" w:cs="Times New Roman"/>
              </w:rPr>
              <w:t>污</w:t>
            </w:r>
          </w:p>
          <w:p>
            <w:pPr>
              <w:spacing w:line="240" w:lineRule="auto"/>
              <w:jc w:val="center"/>
              <w:rPr>
                <w:rFonts w:hint="default" w:ascii="Times New Roman" w:hAnsi="Times New Roman" w:cs="Times New Roman"/>
              </w:rPr>
            </w:pPr>
            <w:r>
              <w:rPr>
                <w:rFonts w:hint="default" w:ascii="Times New Roman" w:hAnsi="Times New Roman" w:cs="Times New Roman"/>
              </w:rPr>
              <w:t>染</w:t>
            </w:r>
          </w:p>
          <w:p>
            <w:pPr>
              <w:spacing w:line="240" w:lineRule="auto"/>
              <w:jc w:val="center"/>
              <w:rPr>
                <w:rFonts w:hint="default" w:ascii="Times New Roman" w:hAnsi="Times New Roman" w:cs="Times New Roman"/>
              </w:rPr>
            </w:pPr>
            <w:r>
              <w:rPr>
                <w:rFonts w:hint="default" w:ascii="Times New Roman" w:hAnsi="Times New Roman" w:cs="Times New Roman"/>
              </w:rPr>
              <w:t>物</w:t>
            </w:r>
          </w:p>
          <w:p>
            <w:pPr>
              <w:spacing w:line="240" w:lineRule="auto"/>
              <w:jc w:val="center"/>
              <w:rPr>
                <w:rFonts w:hint="default" w:ascii="Times New Roman" w:hAnsi="Times New Roman" w:cs="Times New Roman"/>
              </w:rPr>
            </w:pPr>
          </w:p>
        </w:tc>
        <w:tc>
          <w:tcPr>
            <w:tcW w:w="1813" w:type="dxa"/>
            <w:gridSpan w:val="2"/>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生活废水</w:t>
            </w:r>
          </w:p>
        </w:tc>
        <w:tc>
          <w:tcPr>
            <w:tcW w:w="1985" w:type="dxa"/>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生活废水</w:t>
            </w:r>
          </w:p>
        </w:tc>
        <w:tc>
          <w:tcPr>
            <w:tcW w:w="2126"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233.6t/a</w:t>
            </w:r>
          </w:p>
        </w:tc>
        <w:tc>
          <w:tcPr>
            <w:tcW w:w="2268"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233.6t/a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vMerge w:val="restart"/>
            <w:tcBorders>
              <w:tl2br w:val="nil"/>
            </w:tcBorders>
            <w:vAlign w:val="center"/>
          </w:tcPr>
          <w:p>
            <w:pPr>
              <w:spacing w:line="240" w:lineRule="auto"/>
              <w:jc w:val="center"/>
              <w:rPr>
                <w:rFonts w:hint="default" w:ascii="Times New Roman" w:hAnsi="Times New Roman" w:cs="Times New Roman"/>
              </w:rPr>
            </w:pPr>
          </w:p>
          <w:p>
            <w:pPr>
              <w:spacing w:line="240" w:lineRule="auto"/>
              <w:jc w:val="center"/>
              <w:rPr>
                <w:rFonts w:hint="default" w:ascii="Times New Roman" w:hAnsi="Times New Roman" w:cs="Times New Roman"/>
              </w:rPr>
            </w:pPr>
            <w:r>
              <w:rPr>
                <w:rFonts w:hint="default" w:ascii="Times New Roman" w:hAnsi="Times New Roman" w:cs="Times New Roman"/>
              </w:rPr>
              <w:t>固</w:t>
            </w:r>
          </w:p>
          <w:p>
            <w:pPr>
              <w:spacing w:line="240" w:lineRule="auto"/>
              <w:jc w:val="center"/>
              <w:rPr>
                <w:rFonts w:hint="default" w:ascii="Times New Roman" w:hAnsi="Times New Roman" w:cs="Times New Roman"/>
              </w:rPr>
            </w:pPr>
            <w:r>
              <w:rPr>
                <w:rFonts w:hint="default" w:ascii="Times New Roman" w:hAnsi="Times New Roman" w:cs="Times New Roman"/>
              </w:rPr>
              <w:t>体</w:t>
            </w:r>
          </w:p>
          <w:p>
            <w:pPr>
              <w:spacing w:line="240" w:lineRule="auto"/>
              <w:jc w:val="center"/>
              <w:rPr>
                <w:rFonts w:hint="default" w:ascii="Times New Roman" w:hAnsi="Times New Roman" w:cs="Times New Roman"/>
              </w:rPr>
            </w:pPr>
            <w:r>
              <w:rPr>
                <w:rFonts w:hint="default" w:ascii="Times New Roman" w:hAnsi="Times New Roman" w:cs="Times New Roman"/>
              </w:rPr>
              <w:t>废</w:t>
            </w:r>
          </w:p>
          <w:p>
            <w:pPr>
              <w:spacing w:line="240" w:lineRule="auto"/>
              <w:jc w:val="center"/>
              <w:rPr>
                <w:rFonts w:hint="default" w:ascii="Times New Roman" w:hAnsi="Times New Roman" w:cs="Times New Roman"/>
              </w:rPr>
            </w:pPr>
            <w:r>
              <w:rPr>
                <w:rFonts w:hint="default" w:ascii="Times New Roman" w:hAnsi="Times New Roman" w:cs="Times New Roman"/>
              </w:rPr>
              <w:t>物</w:t>
            </w:r>
          </w:p>
          <w:p>
            <w:pPr>
              <w:spacing w:line="240" w:lineRule="auto"/>
              <w:jc w:val="center"/>
              <w:rPr>
                <w:rFonts w:hint="default" w:ascii="Times New Roman" w:hAnsi="Times New Roman" w:cs="Times New Roman"/>
              </w:rPr>
            </w:pPr>
          </w:p>
        </w:tc>
        <w:tc>
          <w:tcPr>
            <w:tcW w:w="1813" w:type="dxa"/>
            <w:gridSpan w:val="2"/>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生活垃圾</w:t>
            </w:r>
          </w:p>
        </w:tc>
        <w:tc>
          <w:tcPr>
            <w:tcW w:w="1985" w:type="dxa"/>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生活垃圾</w:t>
            </w:r>
          </w:p>
        </w:tc>
        <w:tc>
          <w:tcPr>
            <w:tcW w:w="2126"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2.92t/a</w:t>
            </w:r>
          </w:p>
        </w:tc>
        <w:tc>
          <w:tcPr>
            <w:tcW w:w="2268"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2.92t/a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vMerge w:val="continue"/>
            <w:tcBorders>
              <w:tl2br w:val="nil"/>
            </w:tcBorders>
            <w:vAlign w:val="center"/>
          </w:tcPr>
          <w:p>
            <w:pPr>
              <w:spacing w:line="240" w:lineRule="auto"/>
              <w:jc w:val="center"/>
              <w:rPr>
                <w:rFonts w:hint="default" w:ascii="Times New Roman" w:hAnsi="Times New Roman" w:cs="Times New Roman"/>
              </w:rPr>
            </w:pPr>
          </w:p>
        </w:tc>
        <w:tc>
          <w:tcPr>
            <w:tcW w:w="1813" w:type="dxa"/>
            <w:gridSpan w:val="2"/>
            <w:vAlign w:val="center"/>
          </w:tcPr>
          <w:p>
            <w:pPr>
              <w:spacing w:line="240" w:lineRule="auto"/>
              <w:jc w:val="center"/>
              <w:rPr>
                <w:rFonts w:hint="default" w:ascii="Times New Roman" w:hAnsi="Times New Roman" w:cs="Times New Roman"/>
                <w:szCs w:val="24"/>
                <w:highlight w:val="none"/>
              </w:rPr>
            </w:pPr>
            <w:r>
              <w:rPr>
                <w:rFonts w:hint="default" w:ascii="Times New Roman" w:hAnsi="Times New Roman" w:cs="Times New Roman"/>
                <w:szCs w:val="24"/>
                <w:highlight w:val="none"/>
              </w:rPr>
              <w:t>边角料</w:t>
            </w:r>
          </w:p>
        </w:tc>
        <w:tc>
          <w:tcPr>
            <w:tcW w:w="1985" w:type="dxa"/>
            <w:vAlign w:val="center"/>
          </w:tcPr>
          <w:p>
            <w:pPr>
              <w:spacing w:line="240" w:lineRule="auto"/>
              <w:jc w:val="center"/>
              <w:rPr>
                <w:rFonts w:hint="default" w:ascii="Times New Roman" w:hAnsi="Times New Roman" w:cs="Times New Roman"/>
                <w:szCs w:val="24"/>
                <w:highlight w:val="none"/>
              </w:rPr>
            </w:pPr>
            <w:r>
              <w:rPr>
                <w:rFonts w:hint="default" w:ascii="Times New Roman" w:hAnsi="Times New Roman" w:cs="Times New Roman"/>
                <w:szCs w:val="24"/>
                <w:highlight w:val="none"/>
              </w:rPr>
              <w:t>边角料</w:t>
            </w:r>
          </w:p>
        </w:tc>
        <w:tc>
          <w:tcPr>
            <w:tcW w:w="2126"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2.4t/a</w:t>
            </w:r>
          </w:p>
        </w:tc>
        <w:tc>
          <w:tcPr>
            <w:tcW w:w="2268" w:type="dxa"/>
            <w:vAlign w:val="center"/>
          </w:tcPr>
          <w:p>
            <w:pPr>
              <w:spacing w:line="240" w:lineRule="auto"/>
              <w:jc w:val="center"/>
              <w:rPr>
                <w:rFonts w:hint="default" w:ascii="Times New Roman" w:hAnsi="Times New Roman" w:cs="Times New Roman"/>
              </w:rPr>
            </w:pPr>
            <w:r>
              <w:rPr>
                <w:rFonts w:hint="default" w:ascii="Times New Roman" w:hAnsi="Times New Roman"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vMerge w:val="continue"/>
            <w:tcBorders>
              <w:tl2br w:val="nil"/>
            </w:tcBorders>
            <w:vAlign w:val="center"/>
          </w:tcPr>
          <w:p>
            <w:pPr>
              <w:spacing w:line="240" w:lineRule="auto"/>
              <w:jc w:val="center"/>
              <w:rPr>
                <w:rFonts w:hint="default" w:ascii="Times New Roman" w:hAnsi="Times New Roman" w:cs="Times New Roman"/>
              </w:rPr>
            </w:pPr>
          </w:p>
        </w:tc>
        <w:tc>
          <w:tcPr>
            <w:tcW w:w="1813" w:type="dxa"/>
            <w:gridSpan w:val="2"/>
            <w:vAlign w:val="center"/>
          </w:tcPr>
          <w:p>
            <w:pPr>
              <w:spacing w:line="240" w:lineRule="auto"/>
              <w:jc w:val="center"/>
              <w:rPr>
                <w:rFonts w:hint="eastAsia" w:ascii="Times New Roman" w:hAnsi="Times New Roman" w:eastAsia="宋体" w:cs="Times New Roman"/>
                <w:szCs w:val="24"/>
                <w:highlight w:val="none"/>
                <w:lang w:eastAsia="zh-CN"/>
              </w:rPr>
            </w:pPr>
            <w:r>
              <w:rPr>
                <w:rFonts w:hint="eastAsia" w:cs="Times New Roman"/>
                <w:szCs w:val="24"/>
                <w:highlight w:val="none"/>
                <w:lang w:eastAsia="zh-CN"/>
              </w:rPr>
              <w:t>废弃润滑油</w:t>
            </w:r>
          </w:p>
        </w:tc>
        <w:tc>
          <w:tcPr>
            <w:tcW w:w="1985" w:type="dxa"/>
            <w:vAlign w:val="center"/>
          </w:tcPr>
          <w:p>
            <w:pPr>
              <w:spacing w:line="240" w:lineRule="auto"/>
              <w:jc w:val="center"/>
              <w:rPr>
                <w:rFonts w:hint="default" w:ascii="Times New Roman" w:hAnsi="Times New Roman" w:cs="Times New Roman"/>
                <w:szCs w:val="24"/>
                <w:highlight w:val="none"/>
              </w:rPr>
            </w:pPr>
            <w:r>
              <w:rPr>
                <w:rFonts w:hint="eastAsia" w:cs="Times New Roman"/>
                <w:szCs w:val="24"/>
                <w:highlight w:val="none"/>
                <w:lang w:eastAsia="zh-CN"/>
              </w:rPr>
              <w:t>废弃润滑油</w:t>
            </w:r>
          </w:p>
        </w:tc>
        <w:tc>
          <w:tcPr>
            <w:tcW w:w="2126" w:type="dxa"/>
            <w:vAlign w:val="center"/>
          </w:tcPr>
          <w:p>
            <w:pPr>
              <w:spacing w:line="240" w:lineRule="auto"/>
              <w:jc w:val="center"/>
              <w:rPr>
                <w:rFonts w:hint="default" w:ascii="Times New Roman" w:hAnsi="Times New Roman" w:eastAsia="宋体" w:cs="Times New Roman"/>
                <w:lang w:val="en-US" w:eastAsia="zh-CN"/>
              </w:rPr>
            </w:pPr>
            <w:r>
              <w:rPr>
                <w:rFonts w:hint="eastAsia" w:cs="Times New Roman"/>
                <w:lang w:val="en-US" w:eastAsia="zh-CN"/>
              </w:rPr>
              <w:t>0.01</w:t>
            </w:r>
            <w:r>
              <w:rPr>
                <w:rFonts w:hint="default" w:ascii="Times New Roman" w:hAnsi="Times New Roman" w:cs="Times New Roman"/>
              </w:rPr>
              <w:t>t/a</w:t>
            </w:r>
          </w:p>
        </w:tc>
        <w:tc>
          <w:tcPr>
            <w:tcW w:w="2268" w:type="dxa"/>
            <w:vAlign w:val="center"/>
          </w:tcPr>
          <w:p>
            <w:pPr>
              <w:spacing w:line="240" w:lineRule="auto"/>
              <w:jc w:val="center"/>
              <w:rPr>
                <w:rFonts w:hint="eastAsia" w:ascii="Times New Roman" w:hAnsi="Times New Roman" w:eastAsia="宋体" w:cs="Times New Roman"/>
                <w:lang w:val="en-US" w:eastAsia="zh-CN"/>
              </w:rPr>
            </w:pPr>
            <w:r>
              <w:rPr>
                <w:rFonts w:hint="eastAsia" w:cs="Times New Roman"/>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0" w:type="dxa"/>
            <w:tcBorders>
              <w:tl2br w:val="nil"/>
            </w:tcBorders>
            <w:vAlign w:val="center"/>
          </w:tcPr>
          <w:p>
            <w:pPr>
              <w:spacing w:line="240" w:lineRule="auto"/>
              <w:jc w:val="center"/>
              <w:rPr>
                <w:rFonts w:hint="default" w:ascii="Times New Roman" w:hAnsi="Times New Roman" w:cs="Times New Roman"/>
              </w:rPr>
            </w:pPr>
          </w:p>
          <w:p>
            <w:pPr>
              <w:spacing w:line="240" w:lineRule="auto"/>
              <w:jc w:val="center"/>
              <w:rPr>
                <w:rFonts w:hint="default" w:ascii="Times New Roman" w:hAnsi="Times New Roman" w:cs="Times New Roman"/>
              </w:rPr>
            </w:pPr>
            <w:r>
              <w:rPr>
                <w:rFonts w:hint="default" w:ascii="Times New Roman" w:hAnsi="Times New Roman" w:cs="Times New Roman"/>
              </w:rPr>
              <w:t>噪</w:t>
            </w:r>
          </w:p>
          <w:p>
            <w:pPr>
              <w:spacing w:line="240" w:lineRule="auto"/>
              <w:jc w:val="center"/>
              <w:rPr>
                <w:rFonts w:hint="default" w:ascii="Times New Roman" w:hAnsi="Times New Roman" w:cs="Times New Roman"/>
              </w:rPr>
            </w:pPr>
            <w:r>
              <w:rPr>
                <w:rFonts w:hint="default" w:ascii="Times New Roman" w:hAnsi="Times New Roman" w:cs="Times New Roman"/>
              </w:rPr>
              <w:t>声</w:t>
            </w:r>
          </w:p>
          <w:p>
            <w:pPr>
              <w:spacing w:line="240" w:lineRule="auto"/>
              <w:jc w:val="center"/>
              <w:rPr>
                <w:rFonts w:hint="default" w:ascii="Times New Roman" w:hAnsi="Times New Roman" w:cs="Times New Roman"/>
              </w:rPr>
            </w:pPr>
          </w:p>
        </w:tc>
        <w:tc>
          <w:tcPr>
            <w:tcW w:w="1813" w:type="dxa"/>
            <w:gridSpan w:val="2"/>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生产车间</w:t>
            </w:r>
          </w:p>
        </w:tc>
        <w:tc>
          <w:tcPr>
            <w:tcW w:w="6379" w:type="dxa"/>
            <w:gridSpan w:val="3"/>
            <w:vAlign w:val="center"/>
          </w:tcPr>
          <w:p>
            <w:pPr>
              <w:spacing w:line="240" w:lineRule="auto"/>
              <w:jc w:val="center"/>
              <w:rPr>
                <w:rFonts w:hint="default" w:ascii="Times New Roman" w:hAnsi="Times New Roman" w:cs="Times New Roman"/>
              </w:rPr>
            </w:pPr>
            <w:r>
              <w:rPr>
                <w:rFonts w:hint="default" w:ascii="Times New Roman" w:hAnsi="Times New Roman" w:cs="Times New Roman"/>
              </w:rPr>
              <w:t>本项目噪声主要为加工设备运行产生的机械噪声，噪声源强在70-90dB（A）之间。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6"/>
            <w:tcBorders>
              <w:tl2br w:val="nil"/>
            </w:tcBorders>
            <w:vAlign w:val="center"/>
          </w:tcPr>
          <w:p>
            <w:pPr>
              <w:rPr>
                <w:rFonts w:hint="default" w:ascii="Times New Roman" w:hAnsi="Times New Roman" w:cs="Times New Roman"/>
              </w:rPr>
            </w:pPr>
            <w:r>
              <w:rPr>
                <w:rFonts w:hint="default" w:ascii="Times New Roman" w:hAnsi="Times New Roman" w:cs="Times New Roman"/>
              </w:rPr>
              <w:t>主要生态影响（不够时可附另页）：</w:t>
            </w:r>
          </w:p>
          <w:p>
            <w:pPr>
              <w:ind w:firstLine="480" w:firstLineChars="200"/>
              <w:rPr>
                <w:rFonts w:hint="default" w:ascii="Times New Roman" w:hAnsi="Times New Roman" w:cs="Times New Roman"/>
              </w:rPr>
            </w:pPr>
            <w:r>
              <w:rPr>
                <w:rFonts w:hint="default" w:ascii="Times New Roman" w:hAnsi="Times New Roman" w:cs="Times New Roman"/>
              </w:rPr>
              <w:t>项目位于新疆昌吉回族自治州昌吉市大西渠镇闽昌工业园区，项目区周边没有稀有物种，项目运营生产不会对周边生态环境造成不利影响。</w:t>
            </w: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p>
            <w:pPr>
              <w:spacing w:line="240" w:lineRule="auto"/>
              <w:rPr>
                <w:rFonts w:hint="default" w:ascii="Times New Roman" w:hAnsi="Times New Roman" w:cs="Times New Roman"/>
              </w:rPr>
            </w:pPr>
          </w:p>
        </w:tc>
      </w:tr>
    </w:tbl>
    <w:p>
      <w:pPr>
        <w:spacing w:line="240" w:lineRule="auto"/>
        <w:rPr>
          <w:rFonts w:hint="default" w:ascii="Times New Roman" w:hAnsi="Times New Roman" w:cs="Times New Roman"/>
          <w:b/>
          <w:sz w:val="32"/>
          <w:szCs w:val="32"/>
        </w:rPr>
      </w:pPr>
      <w:r>
        <w:rPr>
          <w:rFonts w:hint="default" w:ascii="Times New Roman" w:hAnsi="Times New Roman" w:cs="Times New Roman"/>
          <w:b/>
          <w:sz w:val="32"/>
          <w:szCs w:val="32"/>
        </w:rPr>
        <w:t>环境影响分析</w:t>
      </w:r>
    </w:p>
    <w:tbl>
      <w:tblPr>
        <w:tblStyle w:val="15"/>
        <w:tblW w:w="1063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tcPr>
          <w:p>
            <w:pPr>
              <w:rPr>
                <w:rFonts w:hint="default" w:ascii="Times New Roman" w:hAnsi="Times New Roman" w:cs="Times New Roman"/>
                <w:b/>
              </w:rPr>
            </w:pPr>
            <w:r>
              <w:rPr>
                <w:rFonts w:hint="default" w:ascii="Times New Roman" w:hAnsi="Times New Roman" w:cs="Times New Roman"/>
                <w:b/>
              </w:rPr>
              <w:t>运营期环境影响分析：</w:t>
            </w:r>
          </w:p>
          <w:p>
            <w:pPr>
              <w:ind w:firstLine="482" w:firstLineChars="200"/>
              <w:rPr>
                <w:rFonts w:hint="default" w:ascii="Times New Roman" w:hAnsi="Times New Roman" w:cs="Times New Roman"/>
                <w:b/>
              </w:rPr>
            </w:pPr>
            <w:r>
              <w:rPr>
                <w:rFonts w:hint="default" w:ascii="Times New Roman" w:hAnsi="Times New Roman" w:cs="Times New Roman"/>
                <w:b/>
              </w:rPr>
              <w:t>一、大气环境影响分析</w:t>
            </w:r>
          </w:p>
          <w:p>
            <w:pPr>
              <w:ind w:firstLine="480" w:firstLineChars="200"/>
              <w:rPr>
                <w:rFonts w:hint="default" w:ascii="Times New Roman" w:hAnsi="Times New Roman" w:cs="Times New Roman"/>
              </w:rPr>
            </w:pPr>
            <w:r>
              <w:rPr>
                <w:rFonts w:hint="default" w:ascii="Times New Roman" w:hAnsi="Times New Roman" w:cs="Times New Roman"/>
              </w:rPr>
              <w:t>（1）熔融吹塑废气</w:t>
            </w:r>
          </w:p>
          <w:p>
            <w:pPr>
              <w:ind w:firstLine="480" w:firstLineChars="200"/>
              <w:rPr>
                <w:rFonts w:hint="default" w:ascii="Times New Roman" w:hAnsi="Times New Roman" w:cs="Times New Roman"/>
              </w:rPr>
            </w:pPr>
            <w:r>
              <w:rPr>
                <w:rFonts w:hint="default" w:ascii="Times New Roman" w:hAnsi="Times New Roman" w:cs="Times New Roman"/>
              </w:rPr>
              <w:t>项目生产以高密度聚乙烯（HDPE）为原料，以色母粒为辅料，高密度聚乙烯和色母粒均为原生塑料颗粒。熔融吹塑废气主要产生于熔融、吹塑工序，生产温度温度控制在120℃左右，未达到其分解温度（分解温度大于300℃），不会导致原料的分解，熔融吹塑废气主要成分为非甲烷总烃。参考《空气污染物排放和控制手册》（美国环境保护局编）“第十三章塑料”中推荐的废气排放系数（非甲烷总烃的排放系数为0.35kg/t），并参考同类行业相关经验，确定本项目非甲烷总烃的排放系数为0.5kg/t。本项目原材料使用量为240t/a，生产过程中非甲烷总烃产生量为0.12t/a，产生速率为0.017kg/h（年生产300天，实行3班制，每班工作8小时）。</w:t>
            </w:r>
          </w:p>
          <w:p>
            <w:pPr>
              <w:ind w:firstLine="480" w:firstLineChars="200"/>
              <w:rPr>
                <w:rFonts w:hint="default" w:ascii="Times New Roman" w:hAnsi="Times New Roman" w:cs="Times New Roman"/>
              </w:rPr>
            </w:pPr>
            <w:r>
              <w:rPr>
                <w:rFonts w:hint="default" w:ascii="Times New Roman" w:hAnsi="Times New Roman" w:cs="Times New Roman"/>
              </w:rPr>
              <w:t>1）有组织排放</w:t>
            </w:r>
          </w:p>
          <w:p>
            <w:pPr>
              <w:ind w:firstLine="480" w:firstLineChars="200"/>
              <w:rPr>
                <w:rFonts w:hint="default" w:ascii="Times New Roman" w:hAnsi="Times New Roman" w:cs="Times New Roman"/>
              </w:rPr>
            </w:pPr>
            <w:r>
              <w:rPr>
                <w:rFonts w:hint="default" w:ascii="Times New Roman" w:hAnsi="Times New Roman" w:cs="Times New Roman"/>
              </w:rPr>
              <w:t>本项目采取集尘罩、光氧催化设备对熔融吹塑废气进行收集处理，然后通过15m高烟囱排放，集尘罩收集效率为90%，光氧催化设备处理效率为40%，配套风机风量为5000m³/h。则有组织熔融吹塑废气排放速率为0.00918kg/h，排放浓度为1.84mg/m³。</w:t>
            </w:r>
          </w:p>
          <w:p>
            <w:pPr>
              <w:ind w:firstLine="480" w:firstLineChars="200"/>
              <w:rPr>
                <w:rFonts w:hint="default" w:ascii="Times New Roman" w:hAnsi="Times New Roman" w:cs="Times New Roman"/>
              </w:rPr>
            </w:pPr>
            <w:r>
              <w:rPr>
                <w:rFonts w:hint="default" w:ascii="Times New Roman" w:hAnsi="Times New Roman" w:cs="Times New Roman"/>
              </w:rPr>
              <w:t>本项目有组织熔融吹塑废气排放浓度标准参考</w:t>
            </w:r>
            <w:r>
              <w:rPr>
                <w:rFonts w:hint="eastAsia" w:ascii="Times New Roman" w:hAnsi="Times New Roman" w:cs="Times New Roman"/>
              </w:rPr>
              <w:t>《合成树脂工业污染物排放标准》（GB31572-2015）表4中</w:t>
            </w:r>
            <w:r>
              <w:rPr>
                <w:rFonts w:hint="default" w:ascii="Times New Roman" w:hAnsi="Times New Roman" w:cs="Times New Roman"/>
              </w:rPr>
              <w:t>非甲烷总烃</w:t>
            </w:r>
            <w:r>
              <w:rPr>
                <w:rFonts w:hint="eastAsia" w:ascii="Times New Roman" w:hAnsi="Times New Roman" w:cs="Times New Roman"/>
              </w:rPr>
              <w:t>排放限值，即100mg/m</w:t>
            </w:r>
            <w:r>
              <w:rPr>
                <w:rFonts w:hint="eastAsia" w:ascii="Times New Roman" w:hAnsi="Times New Roman" w:cs="Times New Roman"/>
                <w:vertAlign w:val="superscript"/>
              </w:rPr>
              <w:t>3</w:t>
            </w:r>
            <w:r>
              <w:rPr>
                <w:rFonts w:hint="default" w:ascii="Times New Roman" w:hAnsi="Times New Roman" w:cs="Times New Roman"/>
              </w:rPr>
              <w:t>，本项目有组织熔融吹塑废气排放浓度为1.84mg/m³，满足</w:t>
            </w:r>
            <w:r>
              <w:rPr>
                <w:rFonts w:hint="eastAsia" w:ascii="Times New Roman" w:hAnsi="Times New Roman" w:cs="Times New Roman"/>
              </w:rPr>
              <w:t>《合成树脂工业污染物排放标准》（GB31572-2015）表4中</w:t>
            </w:r>
            <w:r>
              <w:rPr>
                <w:rFonts w:hint="default" w:ascii="Times New Roman" w:hAnsi="Times New Roman" w:cs="Times New Roman"/>
              </w:rPr>
              <w:t>非甲烷总烃</w:t>
            </w:r>
            <w:r>
              <w:rPr>
                <w:rFonts w:hint="eastAsia" w:ascii="Times New Roman" w:hAnsi="Times New Roman" w:cs="Times New Roman"/>
              </w:rPr>
              <w:t>排放限值</w:t>
            </w:r>
            <w:r>
              <w:rPr>
                <w:rFonts w:hint="default" w:ascii="Times New Roman" w:hAnsi="Times New Roman" w:cs="Times New Roman"/>
              </w:rPr>
              <w:t>，本项目排放熔融吹塑废气对周边环境影响较小。</w:t>
            </w:r>
          </w:p>
          <w:p>
            <w:pPr>
              <w:ind w:firstLine="480" w:firstLineChars="200"/>
              <w:rPr>
                <w:rFonts w:hint="default" w:ascii="Times New Roman" w:hAnsi="Times New Roman" w:cs="Times New Roman"/>
              </w:rPr>
            </w:pPr>
            <w:r>
              <w:rPr>
                <w:rFonts w:hint="default" w:ascii="Times New Roman" w:hAnsi="Times New Roman" w:cs="Times New Roman"/>
              </w:rPr>
              <w:t>2）无组织排放</w:t>
            </w:r>
          </w:p>
          <w:p>
            <w:pPr>
              <w:ind w:firstLine="480" w:firstLineChars="200"/>
              <w:rPr>
                <w:rFonts w:hint="default" w:ascii="Times New Roman" w:hAnsi="Times New Roman" w:cs="Times New Roman"/>
              </w:rPr>
            </w:pPr>
            <w:r>
              <w:rPr>
                <w:rFonts w:hint="default" w:ascii="Times New Roman" w:hAnsi="Times New Roman" w:cs="Times New Roman"/>
              </w:rPr>
              <w:t>本项目无组织熔融吹塑废气排放速率为0.0017kg/h。本项目无组织熔融吹塑废气浓度预测采取估算模式计算，估算模型参数及预测浓度值见表1-1和1-2。</w:t>
            </w:r>
          </w:p>
          <w:p>
            <w:pPr>
              <w:spacing w:line="240" w:lineRule="auto"/>
              <w:ind w:firstLine="422" w:firstLineChars="200"/>
              <w:jc w:val="center"/>
              <w:rPr>
                <w:rFonts w:hint="default" w:ascii="Times New Roman" w:hAnsi="Times New Roman" w:cs="Times New Roman"/>
                <w:b/>
                <w:sz w:val="21"/>
              </w:rPr>
            </w:pPr>
            <w:r>
              <w:rPr>
                <w:rFonts w:hint="default" w:ascii="Times New Roman" w:hAnsi="Times New Roman" w:cs="Times New Roman"/>
                <w:b/>
                <w:sz w:val="21"/>
              </w:rPr>
              <w:t>表1-1    面源预测参数一览表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1126"/>
              <w:gridCol w:w="1398"/>
              <w:gridCol w:w="1399"/>
              <w:gridCol w:w="849"/>
              <w:gridCol w:w="800"/>
              <w:gridCol w:w="1111"/>
              <w:gridCol w:w="848"/>
              <w:gridCol w:w="664"/>
              <w:gridCol w:w="176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459" w:type="dxa"/>
                  <w:vMerge w:val="restar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编号</w:t>
                  </w:r>
                </w:p>
              </w:tc>
              <w:tc>
                <w:tcPr>
                  <w:tcW w:w="1135" w:type="dxa"/>
                  <w:vMerge w:val="restar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名称</w:t>
                  </w:r>
                </w:p>
              </w:tc>
              <w:tc>
                <w:tcPr>
                  <w:tcW w:w="2835" w:type="dxa"/>
                  <w:gridSpan w:val="2"/>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面源中心点坐标</w:t>
                  </w:r>
                </w:p>
              </w:tc>
              <w:tc>
                <w:tcPr>
                  <w:tcW w:w="850" w:type="dxa"/>
                  <w:vMerge w:val="restar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面源海拔高度（m）</w:t>
                  </w:r>
                </w:p>
              </w:tc>
              <w:tc>
                <w:tcPr>
                  <w:tcW w:w="726" w:type="dxa"/>
                  <w:vMerge w:val="restar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面源半径（m）</w:t>
                  </w:r>
                </w:p>
              </w:tc>
              <w:tc>
                <w:tcPr>
                  <w:tcW w:w="1117" w:type="dxa"/>
                  <w:vMerge w:val="restar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面源有效排放高度（m）</w:t>
                  </w:r>
                </w:p>
              </w:tc>
              <w:tc>
                <w:tcPr>
                  <w:tcW w:w="850" w:type="dxa"/>
                  <w:vMerge w:val="restar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年排放小时数（h）</w:t>
                  </w:r>
                </w:p>
              </w:tc>
              <w:tc>
                <w:tcPr>
                  <w:tcW w:w="668" w:type="dxa"/>
                  <w:vMerge w:val="restart"/>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排放工况</w:t>
                  </w:r>
                </w:p>
              </w:tc>
              <w:tc>
                <w:tcPr>
                  <w:tcW w:w="1776"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污染物排放速率（kg/h）</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459" w:type="dxa"/>
                  <w:vMerge w:val="continue"/>
                  <w:vAlign w:val="center"/>
                </w:tcPr>
                <w:p>
                  <w:pPr>
                    <w:spacing w:line="240" w:lineRule="auto"/>
                    <w:jc w:val="center"/>
                    <w:rPr>
                      <w:rFonts w:hint="default" w:ascii="Times New Roman" w:hAnsi="Times New Roman" w:cs="Times New Roman"/>
                      <w:sz w:val="21"/>
                    </w:rPr>
                  </w:pPr>
                </w:p>
              </w:tc>
              <w:tc>
                <w:tcPr>
                  <w:tcW w:w="1135" w:type="dxa"/>
                  <w:vMerge w:val="continue"/>
                  <w:vAlign w:val="center"/>
                </w:tcPr>
                <w:p>
                  <w:pPr>
                    <w:spacing w:line="240" w:lineRule="auto"/>
                    <w:jc w:val="center"/>
                    <w:rPr>
                      <w:rFonts w:hint="default" w:ascii="Times New Roman" w:hAnsi="Times New Roman" w:cs="Times New Roman"/>
                      <w:sz w:val="21"/>
                    </w:rPr>
                  </w:pPr>
                </w:p>
              </w:tc>
              <w:tc>
                <w:tcPr>
                  <w:tcW w:w="1417"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E</w:t>
                  </w:r>
                </w:p>
              </w:tc>
              <w:tc>
                <w:tcPr>
                  <w:tcW w:w="1418"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N</w:t>
                  </w:r>
                </w:p>
              </w:tc>
              <w:tc>
                <w:tcPr>
                  <w:tcW w:w="850" w:type="dxa"/>
                  <w:vMerge w:val="continue"/>
                  <w:vAlign w:val="center"/>
                </w:tcPr>
                <w:p>
                  <w:pPr>
                    <w:spacing w:line="240" w:lineRule="auto"/>
                    <w:jc w:val="center"/>
                    <w:rPr>
                      <w:rFonts w:hint="default" w:ascii="Times New Roman" w:hAnsi="Times New Roman" w:cs="Times New Roman"/>
                      <w:sz w:val="21"/>
                    </w:rPr>
                  </w:pPr>
                </w:p>
              </w:tc>
              <w:tc>
                <w:tcPr>
                  <w:tcW w:w="726" w:type="dxa"/>
                  <w:vMerge w:val="continue"/>
                  <w:vAlign w:val="center"/>
                </w:tcPr>
                <w:p>
                  <w:pPr>
                    <w:spacing w:line="240" w:lineRule="auto"/>
                    <w:jc w:val="center"/>
                    <w:rPr>
                      <w:rFonts w:hint="default" w:ascii="Times New Roman" w:hAnsi="Times New Roman" w:cs="Times New Roman"/>
                      <w:sz w:val="21"/>
                    </w:rPr>
                  </w:pPr>
                </w:p>
              </w:tc>
              <w:tc>
                <w:tcPr>
                  <w:tcW w:w="1117" w:type="dxa"/>
                  <w:vMerge w:val="continue"/>
                  <w:vAlign w:val="center"/>
                </w:tcPr>
                <w:p>
                  <w:pPr>
                    <w:spacing w:line="240" w:lineRule="auto"/>
                    <w:jc w:val="center"/>
                    <w:rPr>
                      <w:rFonts w:hint="default" w:ascii="Times New Roman" w:hAnsi="Times New Roman" w:cs="Times New Roman"/>
                      <w:sz w:val="21"/>
                    </w:rPr>
                  </w:pPr>
                </w:p>
              </w:tc>
              <w:tc>
                <w:tcPr>
                  <w:tcW w:w="850" w:type="dxa"/>
                  <w:vMerge w:val="continue"/>
                  <w:vAlign w:val="center"/>
                </w:tcPr>
                <w:p>
                  <w:pPr>
                    <w:spacing w:line="240" w:lineRule="auto"/>
                    <w:jc w:val="center"/>
                    <w:rPr>
                      <w:rFonts w:hint="default" w:ascii="Times New Roman" w:hAnsi="Times New Roman" w:cs="Times New Roman"/>
                      <w:sz w:val="21"/>
                    </w:rPr>
                  </w:pPr>
                </w:p>
              </w:tc>
              <w:tc>
                <w:tcPr>
                  <w:tcW w:w="668" w:type="dxa"/>
                  <w:vMerge w:val="continue"/>
                  <w:vAlign w:val="center"/>
                </w:tcPr>
                <w:p>
                  <w:pPr>
                    <w:spacing w:line="240" w:lineRule="auto"/>
                    <w:jc w:val="center"/>
                    <w:rPr>
                      <w:rFonts w:hint="default" w:ascii="Times New Roman" w:hAnsi="Times New Roman" w:cs="Times New Roman"/>
                      <w:sz w:val="21"/>
                    </w:rPr>
                  </w:pPr>
                </w:p>
              </w:tc>
              <w:tc>
                <w:tcPr>
                  <w:tcW w:w="1776"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熔融吹塑废气</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459"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1</w:t>
                  </w:r>
                </w:p>
              </w:tc>
              <w:tc>
                <w:tcPr>
                  <w:tcW w:w="1135"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注塑机、吹塑机</w:t>
                  </w:r>
                </w:p>
              </w:tc>
              <w:tc>
                <w:tcPr>
                  <w:tcW w:w="1417" w:type="dxa"/>
                  <w:vAlign w:val="center"/>
                </w:tcPr>
                <w:p>
                  <w:pPr>
                    <w:wordWrap w:val="0"/>
                    <w:spacing w:line="240" w:lineRule="auto"/>
                    <w:jc w:val="center"/>
                    <w:rPr>
                      <w:rFonts w:hint="default" w:ascii="Times New Roman" w:hAnsi="Times New Roman" w:cs="Times New Roman"/>
                      <w:sz w:val="21"/>
                    </w:rPr>
                  </w:pPr>
                  <w:r>
                    <w:rPr>
                      <w:rFonts w:hint="default" w:ascii="Times New Roman" w:hAnsi="Times New Roman" w:cs="Times New Roman"/>
                      <w:sz w:val="21"/>
                    </w:rPr>
                    <w:t>87°12'25.50"</w:t>
                  </w:r>
                </w:p>
              </w:tc>
              <w:tc>
                <w:tcPr>
                  <w:tcW w:w="1418" w:type="dxa"/>
                  <w:vAlign w:val="center"/>
                </w:tcPr>
                <w:p>
                  <w:pPr>
                    <w:wordWrap w:val="0"/>
                    <w:spacing w:line="240" w:lineRule="auto"/>
                    <w:rPr>
                      <w:rFonts w:hint="default" w:ascii="Times New Roman" w:hAnsi="Times New Roman" w:cs="Times New Roman"/>
                      <w:sz w:val="21"/>
                    </w:rPr>
                  </w:pPr>
                  <w:r>
                    <w:rPr>
                      <w:rFonts w:hint="default" w:ascii="Times New Roman" w:hAnsi="Times New Roman" w:cs="Times New Roman"/>
                      <w:sz w:val="21"/>
                    </w:rPr>
                    <w:t>44° 1'51.53"</w:t>
                  </w:r>
                </w:p>
              </w:tc>
              <w:tc>
                <w:tcPr>
                  <w:tcW w:w="850"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569</w:t>
                  </w:r>
                </w:p>
              </w:tc>
              <w:tc>
                <w:tcPr>
                  <w:tcW w:w="726"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2</w:t>
                  </w:r>
                </w:p>
              </w:tc>
              <w:tc>
                <w:tcPr>
                  <w:tcW w:w="1117"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2</w:t>
                  </w:r>
                </w:p>
              </w:tc>
              <w:tc>
                <w:tcPr>
                  <w:tcW w:w="850"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7200</w:t>
                  </w:r>
                </w:p>
              </w:tc>
              <w:tc>
                <w:tcPr>
                  <w:tcW w:w="668"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正常工况</w:t>
                  </w:r>
                </w:p>
              </w:tc>
              <w:tc>
                <w:tcPr>
                  <w:tcW w:w="1776" w:type="dxa"/>
                  <w:vAlign w:val="center"/>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0.0017</w:t>
                  </w:r>
                </w:p>
              </w:tc>
            </w:tr>
          </w:tbl>
          <w:p>
            <w:pPr>
              <w:spacing w:line="240" w:lineRule="auto"/>
              <w:ind w:firstLine="422" w:firstLineChars="200"/>
              <w:jc w:val="center"/>
              <w:rPr>
                <w:rFonts w:hint="default" w:ascii="Times New Roman" w:hAnsi="Times New Roman" w:cs="Times New Roman"/>
                <w:b/>
                <w:sz w:val="21"/>
              </w:rPr>
            </w:pPr>
          </w:p>
          <w:p>
            <w:pPr>
              <w:spacing w:line="240" w:lineRule="auto"/>
              <w:ind w:firstLine="422" w:firstLineChars="200"/>
              <w:jc w:val="center"/>
              <w:rPr>
                <w:rFonts w:hint="default" w:ascii="Times New Roman" w:hAnsi="Times New Roman" w:cs="Times New Roman"/>
                <w:b/>
                <w:sz w:val="21"/>
              </w:rPr>
            </w:pPr>
          </w:p>
          <w:p>
            <w:pPr>
              <w:spacing w:line="240" w:lineRule="auto"/>
              <w:ind w:firstLine="422" w:firstLineChars="200"/>
              <w:jc w:val="center"/>
              <w:rPr>
                <w:rFonts w:hint="default" w:ascii="Times New Roman" w:hAnsi="Times New Roman" w:cs="Times New Roman"/>
                <w:b/>
                <w:sz w:val="21"/>
              </w:rPr>
            </w:pPr>
          </w:p>
          <w:p>
            <w:pPr>
              <w:spacing w:line="240" w:lineRule="auto"/>
              <w:ind w:firstLine="422" w:firstLineChars="200"/>
              <w:jc w:val="center"/>
              <w:rPr>
                <w:rFonts w:hint="default" w:ascii="Times New Roman" w:hAnsi="Times New Roman" w:cs="Times New Roman"/>
                <w:b/>
                <w:sz w:val="21"/>
              </w:rPr>
            </w:pPr>
          </w:p>
          <w:p>
            <w:pPr>
              <w:spacing w:line="240" w:lineRule="auto"/>
              <w:ind w:firstLine="422" w:firstLineChars="200"/>
              <w:jc w:val="center"/>
              <w:rPr>
                <w:rFonts w:hint="default" w:ascii="Times New Roman" w:hAnsi="Times New Roman" w:cs="Times New Roman"/>
                <w:b/>
                <w:sz w:val="21"/>
              </w:rPr>
            </w:pPr>
            <w:r>
              <w:rPr>
                <w:rFonts w:hint="default" w:ascii="Times New Roman" w:hAnsi="Times New Roman" w:cs="Times New Roman"/>
                <w:b/>
                <w:sz w:val="21"/>
              </w:rPr>
              <w:t>表1-2    无组织吹塑熔融废气浓度预测一览表</w:t>
            </w:r>
          </w:p>
          <w:tbl>
            <w:tblPr>
              <w:tblStyle w:val="1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472"/>
              <w:gridCol w:w="3473"/>
              <w:gridCol w:w="347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序号</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距离（m）</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浓度(mg/m³)</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1</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50</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0.0066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2</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75</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0.0061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3</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100</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0.0058</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125</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0.0053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5</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150</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0.0051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6</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200</w:t>
                  </w:r>
                </w:p>
              </w:tc>
              <w:tc>
                <w:tcPr>
                  <w:tcW w:w="1667"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0.0043</w:t>
                  </w:r>
                </w:p>
              </w:tc>
            </w:tr>
          </w:tbl>
          <w:p>
            <w:pPr>
              <w:pStyle w:val="44"/>
              <w:ind w:firstLine="476"/>
              <w:rPr>
                <w:rFonts w:hint="default" w:eastAsia="宋体" w:cs="Times New Roman"/>
                <w:lang w:val="en-US" w:eastAsia="zh-CN"/>
              </w:rPr>
            </w:pPr>
            <w:r>
              <w:rPr>
                <w:rFonts w:hint="default" w:ascii="Times New Roman" w:hAnsi="Times New Roman" w:cs="Times New Roman"/>
              </w:rPr>
              <w:t>本线目生产线距厂界50米，厂界无组织熔融吹塑废气落地浓度为0.0066mg/m³，满足</w:t>
            </w:r>
            <w:r>
              <w:rPr>
                <w:rFonts w:hint="eastAsia" w:cs="Times New Roman"/>
                <w:lang w:val="en-US" w:eastAsia="zh-CN"/>
              </w:rPr>
              <w:t>《挥发性有机物无组织排放控制标准》（GB37822-2019）表A.1厂区内VOCs无组织排放限值中特别排放限值（6</w:t>
            </w:r>
            <w:r>
              <w:rPr>
                <w:rFonts w:hint="default" w:ascii="Times New Roman" w:hAnsi="Times New Roman" w:cs="Times New Roman"/>
              </w:rPr>
              <w:t>mg/m</w:t>
            </w:r>
            <w:r>
              <w:rPr>
                <w:rFonts w:hint="default" w:ascii="Times New Roman" w:hAnsi="Times New Roman" w:cs="Times New Roman"/>
                <w:vertAlign w:val="superscript"/>
              </w:rPr>
              <w:t>3</w:t>
            </w:r>
            <w:r>
              <w:rPr>
                <w:rFonts w:hint="eastAsia" w:cs="Times New Roman"/>
                <w:lang w:val="en-US" w:eastAsia="zh-CN"/>
              </w:rPr>
              <w:t>），</w:t>
            </w:r>
            <w:r>
              <w:rPr>
                <w:rFonts w:hint="default" w:ascii="Times New Roman" w:hAnsi="Times New Roman" w:cs="Times New Roman"/>
              </w:rPr>
              <w:t>本项目无组织熔融吹塑废气对周边环境影响较小。</w:t>
            </w:r>
          </w:p>
          <w:p>
            <w:pPr>
              <w:ind w:firstLine="480" w:firstLineChars="200"/>
              <w:rPr>
                <w:rFonts w:hint="default" w:ascii="Times New Roman" w:hAnsi="Times New Roman" w:cs="Times New Roman"/>
              </w:rPr>
            </w:pPr>
            <w:r>
              <w:rPr>
                <w:rFonts w:hint="default" w:ascii="Times New Roman" w:hAnsi="Times New Roman" w:cs="Times New Roman"/>
              </w:rPr>
              <w:t>（2）破碎粉尘</w:t>
            </w:r>
          </w:p>
          <w:p>
            <w:pPr>
              <w:ind w:firstLine="480" w:firstLineChars="200"/>
              <w:rPr>
                <w:rFonts w:hint="default" w:ascii="Times New Roman" w:hAnsi="Times New Roman" w:cs="Times New Roman"/>
              </w:rPr>
            </w:pPr>
            <w:r>
              <w:rPr>
                <w:rFonts w:hint="default" w:ascii="Times New Roman" w:hAnsi="Times New Roman" w:cs="Times New Roman"/>
              </w:rPr>
              <w:t>项目产品修饰工序产生的边角料经破碎作为原料回用于生产，项目使用破碎机为密闭设备，仅有少量破碎粉尘散逸，对周边环境影响较小。</w:t>
            </w:r>
          </w:p>
          <w:p>
            <w:pPr>
              <w:ind w:firstLine="482" w:firstLineChars="200"/>
              <w:rPr>
                <w:rFonts w:hint="default" w:ascii="Times New Roman" w:hAnsi="Times New Roman" w:cs="Times New Roman"/>
                <w:b/>
              </w:rPr>
            </w:pPr>
            <w:r>
              <w:rPr>
                <w:rFonts w:hint="default" w:ascii="Times New Roman" w:hAnsi="Times New Roman" w:cs="Times New Roman"/>
                <w:b/>
              </w:rPr>
              <w:t>二、水环境影响分析</w:t>
            </w:r>
          </w:p>
          <w:p>
            <w:pPr>
              <w:ind w:firstLine="480" w:firstLineChars="200"/>
              <w:rPr>
                <w:rFonts w:hint="default" w:ascii="Times New Roman" w:hAnsi="Times New Roman" w:cs="Times New Roman"/>
              </w:rPr>
            </w:pPr>
            <w:r>
              <w:rPr>
                <w:rFonts w:hint="default" w:ascii="Times New Roman" w:hAnsi="Times New Roman" w:cs="Times New Roman"/>
              </w:rPr>
              <w:t>（1）生活废水</w:t>
            </w:r>
          </w:p>
          <w:p>
            <w:pPr>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本项目员工生活废水产生量为233.6m³/a，</w:t>
            </w:r>
            <w:r>
              <w:rPr>
                <w:rFonts w:ascii="宋体" w:hAnsi="宋体" w:eastAsia="宋体" w:cs="宋体"/>
                <w:color w:val="000000" w:themeColor="text1"/>
                <w:sz w:val="24"/>
                <w:szCs w:val="24"/>
                <w14:textFill>
                  <w14:solidFill>
                    <w14:schemeClr w14:val="tx1"/>
                  </w14:solidFill>
                </w14:textFill>
              </w:rPr>
              <w:t>生活</w:t>
            </w:r>
            <w:r>
              <w:rPr>
                <w:rFonts w:hint="eastAsia" w:ascii="宋体" w:hAnsi="宋体" w:cs="宋体"/>
                <w:color w:val="000000" w:themeColor="text1"/>
                <w:sz w:val="24"/>
                <w:szCs w:val="24"/>
                <w:lang w:eastAsia="zh-CN"/>
                <w14:textFill>
                  <w14:solidFill>
                    <w14:schemeClr w14:val="tx1"/>
                  </w14:solidFill>
                </w14:textFill>
              </w:rPr>
              <w:t>废</w:t>
            </w:r>
            <w:r>
              <w:rPr>
                <w:rFonts w:ascii="宋体" w:hAnsi="宋体" w:eastAsia="宋体" w:cs="宋体"/>
                <w:color w:val="000000" w:themeColor="text1"/>
                <w:sz w:val="24"/>
                <w:szCs w:val="24"/>
                <w14:textFill>
                  <w14:solidFill>
                    <w14:schemeClr w14:val="tx1"/>
                  </w14:solidFill>
                </w14:textFill>
              </w:rPr>
              <w:t>水依托厂区内已建的污水管网排入产业集中区污水管网，最终经昌吉市第二污水厂统一处理，该厂于2001年开始运营，采用卡鲁塞尔氧化工艺，日处理10万吨污水，昌吉市排入城市管网的污水处理率达100%，出水水质达到《城镇污水处理厂污染物排放标准》一级A标准</w:t>
            </w:r>
            <w:r>
              <w:rPr>
                <w:rFonts w:hint="eastAsia" w:ascii="宋体" w:hAnsi="宋体" w:cs="宋体"/>
                <w:color w:val="000000" w:themeColor="text1"/>
                <w:sz w:val="24"/>
                <w:szCs w:val="24"/>
                <w:lang w:eastAsia="zh-CN"/>
                <w14:textFill>
                  <w14:solidFill>
                    <w14:schemeClr w14:val="tx1"/>
                  </w14:solidFill>
                </w14:textFill>
              </w:rPr>
              <w:t>。</w:t>
            </w:r>
          </w:p>
          <w:p>
            <w:pPr>
              <w:ind w:firstLine="480" w:firstLineChars="200"/>
              <w:rPr>
                <w:rFonts w:hint="default" w:ascii="宋体" w:hAnsi="宋体" w:eastAsia="宋体" w:cs="宋体"/>
                <w:color w:val="000000" w:themeColor="text1"/>
                <w:sz w:val="24"/>
                <w:szCs w:val="24"/>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本项目生活废水对周边环境影响较小。</w:t>
            </w:r>
          </w:p>
          <w:p>
            <w:pPr>
              <w:ind w:firstLine="482" w:firstLineChars="200"/>
              <w:rPr>
                <w:rFonts w:hint="default" w:ascii="Times New Roman" w:hAnsi="Times New Roman" w:cs="Times New Roman"/>
                <w:b/>
              </w:rPr>
            </w:pPr>
            <w:r>
              <w:rPr>
                <w:rFonts w:hint="default" w:ascii="Times New Roman" w:hAnsi="Times New Roman" w:cs="Times New Roman"/>
                <w:b/>
              </w:rPr>
              <w:t>三、声环境影响分析</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rPr>
              <w:t>项目生产过程中主要噪声源为混料机、注塑机、吹塑机、气泵、破碎机等，</w:t>
            </w:r>
            <w:r>
              <w:rPr>
                <w:rFonts w:hint="default" w:ascii="Times New Roman" w:hAnsi="Times New Roman" w:cs="Times New Roman"/>
                <w:kern w:val="0"/>
              </w:rPr>
              <w:t>噪声源强为70-90dB(A)，项目生产选用低噪声设备，视具体情况采用基座减振、车间隔声等降噪措施，本项目噪声源见表3.1。</w:t>
            </w:r>
          </w:p>
          <w:p>
            <w:pPr>
              <w:pStyle w:val="44"/>
              <w:wordWrap/>
              <w:spacing w:line="240" w:lineRule="auto"/>
              <w:ind w:firstLine="418"/>
              <w:jc w:val="center"/>
              <w:rPr>
                <w:rFonts w:hint="default" w:ascii="Times New Roman" w:hAnsi="Times New Roman" w:cs="Times New Roman"/>
                <w:b/>
                <w:sz w:val="21"/>
              </w:rPr>
            </w:pPr>
            <w:r>
              <w:rPr>
                <w:rFonts w:hint="default" w:ascii="Times New Roman" w:hAnsi="Times New Roman" w:cs="Times New Roman"/>
                <w:b/>
                <w:sz w:val="21"/>
              </w:rPr>
              <w:t>表3.1    项目主要噪声源强一栏表</w:t>
            </w:r>
          </w:p>
          <w:tbl>
            <w:tblPr>
              <w:tblStyle w:val="15"/>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4243"/>
              <w:gridCol w:w="4448"/>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序号</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噪声源名称</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噪声级dB（A）</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1</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混料机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70-80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2</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注塑机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70-80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3</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吹塑机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70-80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4</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气泵</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80-90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2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5</w:t>
                  </w:r>
                </w:p>
              </w:tc>
              <w:tc>
                <w:tcPr>
                  <w:tcW w:w="4253"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破碎机</w:t>
                  </w:r>
                </w:p>
              </w:tc>
              <w:tc>
                <w:tcPr>
                  <w:tcW w:w="4458" w:type="dxa"/>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80-90</w:t>
                  </w:r>
                </w:p>
              </w:tc>
            </w:tr>
          </w:tbl>
          <w:p>
            <w:pPr>
              <w:overflowPunct w:val="0"/>
              <w:snapToGrid w:val="0"/>
              <w:ind w:firstLine="361" w:firstLineChars="200"/>
              <w:rPr>
                <w:rFonts w:hint="default" w:ascii="Times New Roman" w:hAnsi="Times New Roman" w:cs="Times New Roman"/>
                <w:b/>
                <w:kern w:val="0"/>
                <w:sz w:val="18"/>
              </w:rPr>
            </w:pPr>
            <w:r>
              <w:rPr>
                <w:rFonts w:hint="default" w:ascii="Times New Roman" w:hAnsi="Times New Roman" w:cs="Times New Roman"/>
                <w:b/>
                <w:kern w:val="0"/>
                <w:sz w:val="18"/>
              </w:rPr>
              <w:t>本项目噪声源在采取设置减震垫，加强对机器保养等措施后，产生噪声约可以减少5dB。</w:t>
            </w:r>
          </w:p>
          <w:p>
            <w:pPr>
              <w:overflowPunct w:val="0"/>
              <w:snapToGrid w:val="0"/>
              <w:ind w:firstLine="482" w:firstLineChars="200"/>
              <w:rPr>
                <w:rFonts w:hint="default" w:ascii="Times New Roman" w:hAnsi="Times New Roman" w:cs="Times New Roman"/>
                <w:kern w:val="0"/>
              </w:rPr>
            </w:pPr>
            <w:r>
              <w:rPr>
                <w:rFonts w:hint="default" w:ascii="Times New Roman" w:hAnsi="Times New Roman" w:cs="Times New Roman"/>
                <w:b/>
              </w:rPr>
              <w:t>3.1声环境影响预测</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本项目运输车辆较少，车程较短，产生噪声对周边环境影响较小，故本环评主要对生产设备噪声进行预测。</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（1）预测方法</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 xml:space="preserve"> 根据项目的特点，本次噪声评价根据《环境影响评价技术导则——声环境》（HJ2.4-2009）中工业噪声预测模式进行预测。</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（2）评价标准</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厂界噪声标准采用《工业企业厂界环境噪声排放标准》（GB12348-2008）中3类标准，即昼间65dB（A），夜间55dB（A）。</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（3）噪声预测结果及影响分析</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本项目主要噪声源在传播的过程中，通过声距离衰减以及空气吸收衰减到达厂界。</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根据声源衰减公式：</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 xml:space="preserve">                                               LA</w:t>
            </w:r>
            <w:r>
              <w:rPr>
                <w:rFonts w:hint="default" w:ascii="Times New Roman" w:hAnsi="Times New Roman" w:cs="Times New Roman"/>
                <w:kern w:val="0"/>
                <w:vertAlign w:val="subscript"/>
              </w:rPr>
              <w:t>（r）</w:t>
            </w:r>
            <w:r>
              <w:rPr>
                <w:rFonts w:hint="default" w:ascii="Times New Roman" w:hAnsi="Times New Roman" w:cs="Times New Roman"/>
                <w:kern w:val="0"/>
              </w:rPr>
              <w:t>=LA</w:t>
            </w:r>
            <w:r>
              <w:rPr>
                <w:rFonts w:hint="default" w:ascii="Times New Roman" w:hAnsi="Times New Roman" w:cs="Times New Roman"/>
                <w:kern w:val="0"/>
                <w:vertAlign w:val="subscript"/>
              </w:rPr>
              <w:t>(ro)</w:t>
            </w:r>
            <w:r>
              <w:rPr>
                <w:rFonts w:hint="default" w:ascii="Times New Roman" w:hAnsi="Times New Roman" w:cs="Times New Roman"/>
                <w:kern w:val="0"/>
              </w:rPr>
              <w:t>-20lg（r/r</w:t>
            </w:r>
            <w:r>
              <w:rPr>
                <w:rFonts w:hint="default" w:ascii="Times New Roman" w:hAnsi="Times New Roman" w:cs="Times New Roman"/>
                <w:kern w:val="0"/>
                <w:vertAlign w:val="subscript"/>
              </w:rPr>
              <w:t>o</w:t>
            </w:r>
            <w:r>
              <w:rPr>
                <w:rFonts w:hint="default" w:ascii="Times New Roman" w:hAnsi="Times New Roman" w:cs="Times New Roman"/>
                <w:kern w:val="0"/>
              </w:rPr>
              <w:t>）</w:t>
            </w:r>
          </w:p>
          <w:p>
            <w:pPr>
              <w:overflowPunct w:val="0"/>
              <w:snapToGrid w:val="0"/>
              <w:ind w:firstLine="1320" w:firstLineChars="550"/>
              <w:rPr>
                <w:rFonts w:hint="default" w:ascii="Times New Roman" w:hAnsi="Times New Roman" w:cs="Times New Roman"/>
                <w:kern w:val="0"/>
              </w:rPr>
            </w:pPr>
            <w:r>
              <w:rPr>
                <w:rFonts w:hint="default" w:ascii="Times New Roman" w:hAnsi="Times New Roman" w:cs="Times New Roman"/>
                <w:kern w:val="0"/>
              </w:rPr>
              <w:t>式中：             LA</w:t>
            </w:r>
            <w:r>
              <w:rPr>
                <w:rFonts w:hint="default" w:ascii="Times New Roman" w:hAnsi="Times New Roman" w:cs="Times New Roman"/>
                <w:kern w:val="0"/>
                <w:vertAlign w:val="subscript"/>
              </w:rPr>
              <w:t>（r）</w:t>
            </w:r>
            <w:r>
              <w:rPr>
                <w:rFonts w:hint="default" w:ascii="Times New Roman" w:hAnsi="Times New Roman" w:cs="Times New Roman"/>
                <w:kern w:val="0"/>
              </w:rPr>
              <w:t>————距离声源r处的A声级，dB（A）;</w:t>
            </w:r>
          </w:p>
          <w:p>
            <w:pPr>
              <w:overflowPunct w:val="0"/>
              <w:snapToGrid w:val="0"/>
              <w:ind w:firstLine="1320" w:firstLineChars="550"/>
              <w:rPr>
                <w:rFonts w:hint="default" w:ascii="Times New Roman" w:hAnsi="Times New Roman" w:cs="Times New Roman"/>
                <w:kern w:val="0"/>
              </w:rPr>
            </w:pPr>
            <w:r>
              <w:rPr>
                <w:rFonts w:hint="default" w:ascii="Times New Roman" w:hAnsi="Times New Roman" w:cs="Times New Roman"/>
                <w:kern w:val="0"/>
              </w:rPr>
              <w:t xml:space="preserve">                         LA</w:t>
            </w:r>
            <w:r>
              <w:rPr>
                <w:rFonts w:hint="default" w:ascii="Times New Roman" w:hAnsi="Times New Roman" w:cs="Times New Roman"/>
                <w:kern w:val="0"/>
                <w:vertAlign w:val="subscript"/>
              </w:rPr>
              <w:t>(ro)</w:t>
            </w:r>
            <w:r>
              <w:rPr>
                <w:rFonts w:hint="default" w:ascii="Times New Roman" w:hAnsi="Times New Roman" w:cs="Times New Roman"/>
                <w:kern w:val="0"/>
              </w:rPr>
              <w:t>————距声源r</w:t>
            </w:r>
            <w:r>
              <w:rPr>
                <w:rFonts w:hint="default" w:ascii="Times New Roman" w:hAnsi="Times New Roman" w:cs="Times New Roman"/>
                <w:kern w:val="0"/>
                <w:vertAlign w:val="subscript"/>
              </w:rPr>
              <w:t>o</w:t>
            </w:r>
            <w:r>
              <w:rPr>
                <w:rFonts w:hint="default" w:ascii="Times New Roman" w:hAnsi="Times New Roman" w:cs="Times New Roman"/>
                <w:kern w:val="0"/>
              </w:rPr>
              <w:t>处的A声级；</w:t>
            </w:r>
          </w:p>
          <w:p>
            <w:pPr>
              <w:overflowPunct w:val="0"/>
              <w:snapToGrid w:val="0"/>
              <w:ind w:firstLine="1320" w:firstLineChars="550"/>
              <w:rPr>
                <w:rFonts w:hint="default" w:ascii="Times New Roman" w:hAnsi="Times New Roman" w:cs="Times New Roman"/>
                <w:kern w:val="0"/>
              </w:rPr>
            </w:pPr>
            <w:r>
              <w:rPr>
                <w:rFonts w:hint="default" w:ascii="Times New Roman" w:hAnsi="Times New Roman" w:cs="Times New Roman"/>
                <w:kern w:val="0"/>
              </w:rPr>
              <w:t xml:space="preserve">                         r、r</w:t>
            </w:r>
            <w:r>
              <w:rPr>
                <w:rFonts w:hint="default" w:ascii="Times New Roman" w:hAnsi="Times New Roman" w:cs="Times New Roman"/>
                <w:kern w:val="0"/>
                <w:vertAlign w:val="subscript"/>
              </w:rPr>
              <w:t>o</w:t>
            </w:r>
            <w:r>
              <w:rPr>
                <w:rFonts w:hint="default" w:ascii="Times New Roman" w:hAnsi="Times New Roman" w:cs="Times New Roman"/>
                <w:kern w:val="0"/>
              </w:rPr>
              <w:t>————距声源的距离，m。</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生产设备噪声在东侧厂界预测点A声级衰减值结果见表3.1-1。</w:t>
            </w:r>
          </w:p>
          <w:p>
            <w:pPr>
              <w:overflowPunct w:val="0"/>
              <w:snapToGrid w:val="0"/>
              <w:spacing w:line="240" w:lineRule="auto"/>
              <w:ind w:firstLine="422" w:firstLineChars="200"/>
              <w:jc w:val="center"/>
              <w:rPr>
                <w:rFonts w:hint="default" w:ascii="Times New Roman" w:hAnsi="Times New Roman" w:cs="Times New Roman"/>
                <w:b/>
                <w:kern w:val="0"/>
                <w:sz w:val="21"/>
                <w:szCs w:val="21"/>
              </w:rPr>
            </w:pPr>
            <w:r>
              <w:rPr>
                <w:rFonts w:hint="default" w:ascii="Times New Roman" w:hAnsi="Times New Roman" w:cs="Times New Roman"/>
                <w:b/>
                <w:kern w:val="0"/>
                <w:sz w:val="21"/>
                <w:szCs w:val="21"/>
              </w:rPr>
              <w:t xml:space="preserve">表3.1-1    预测点A声级值一览表    </w:t>
            </w:r>
            <w:r>
              <w:rPr>
                <w:rFonts w:hint="eastAsia" w:cs="Times New Roman"/>
                <w:b/>
                <w:kern w:val="0"/>
                <w:sz w:val="21"/>
                <w:szCs w:val="21"/>
                <w:lang w:val="en-US" w:eastAsia="zh-CN"/>
              </w:rPr>
              <w:t xml:space="preserve">  </w:t>
            </w:r>
            <w:r>
              <w:rPr>
                <w:rFonts w:hint="default" w:ascii="Times New Roman" w:hAnsi="Times New Roman" w:cs="Times New Roman"/>
                <w:b/>
                <w:kern w:val="0"/>
                <w:sz w:val="21"/>
                <w:szCs w:val="21"/>
              </w:rPr>
              <w:t>单位：dB（A）</w:t>
            </w:r>
          </w:p>
          <w:tbl>
            <w:tblPr>
              <w:tblStyle w:val="1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200"/>
              <w:gridCol w:w="2985"/>
              <w:gridCol w:w="423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36"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噪声节点</w:t>
                  </w:r>
                </w:p>
              </w:tc>
              <w:tc>
                <w:tcPr>
                  <w:tcW w:w="1433"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噪声源强</w:t>
                  </w:r>
                </w:p>
              </w:tc>
              <w:tc>
                <w:tcPr>
                  <w:tcW w:w="2031"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预测点噪声衰减值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36"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混料机</w:t>
                  </w:r>
                </w:p>
              </w:tc>
              <w:tc>
                <w:tcPr>
                  <w:tcW w:w="1433" w:type="pct"/>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75</w:t>
                  </w:r>
                </w:p>
              </w:tc>
              <w:tc>
                <w:tcPr>
                  <w:tcW w:w="2031"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40.45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36"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注塑机</w:t>
                  </w:r>
                </w:p>
              </w:tc>
              <w:tc>
                <w:tcPr>
                  <w:tcW w:w="1433" w:type="pct"/>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75</w:t>
                  </w:r>
                </w:p>
              </w:tc>
              <w:tc>
                <w:tcPr>
                  <w:tcW w:w="2031"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55.45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36"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吹塑机</w:t>
                  </w:r>
                </w:p>
              </w:tc>
              <w:tc>
                <w:tcPr>
                  <w:tcW w:w="1433" w:type="pct"/>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75</w:t>
                  </w:r>
                </w:p>
              </w:tc>
              <w:tc>
                <w:tcPr>
                  <w:tcW w:w="2031"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40.45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36"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气泵</w:t>
                  </w:r>
                </w:p>
              </w:tc>
              <w:tc>
                <w:tcPr>
                  <w:tcW w:w="1433" w:type="pct"/>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85</w:t>
                  </w:r>
                </w:p>
              </w:tc>
              <w:tc>
                <w:tcPr>
                  <w:tcW w:w="2031"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55.45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536" w:type="pct"/>
                </w:tcPr>
                <w:p>
                  <w:pPr>
                    <w:spacing w:line="240" w:lineRule="auto"/>
                    <w:jc w:val="center"/>
                    <w:rPr>
                      <w:rFonts w:hint="default" w:ascii="Times New Roman" w:hAnsi="Times New Roman" w:cs="Times New Roman"/>
                      <w:sz w:val="21"/>
                    </w:rPr>
                  </w:pPr>
                  <w:r>
                    <w:rPr>
                      <w:rFonts w:hint="default" w:ascii="Times New Roman" w:hAnsi="Times New Roman" w:cs="Times New Roman"/>
                      <w:sz w:val="21"/>
                    </w:rPr>
                    <w:t>破碎机</w:t>
                  </w:r>
                </w:p>
              </w:tc>
              <w:tc>
                <w:tcPr>
                  <w:tcW w:w="1433" w:type="pct"/>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85</w:t>
                  </w:r>
                </w:p>
              </w:tc>
              <w:tc>
                <w:tcPr>
                  <w:tcW w:w="2031" w:type="pct"/>
                </w:tcPr>
                <w:p>
                  <w:pPr>
                    <w:overflowPunct w:val="0"/>
                    <w:snapToGri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42.45</w:t>
                  </w:r>
                </w:p>
              </w:tc>
            </w:tr>
          </w:tbl>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生产设备在预测点的等效声级贡献值（Leqg）计算公式如下：</w:t>
            </w:r>
          </w:p>
          <w:p>
            <w:pPr>
              <w:overflowPunct w:val="0"/>
              <w:snapToGrid w:val="0"/>
              <w:ind w:firstLine="422" w:firstLineChars="200"/>
              <w:rPr>
                <w:rFonts w:hint="default" w:ascii="Times New Roman" w:hAnsi="Times New Roman" w:cs="Times New Roman"/>
                <w:kern w:val="0"/>
              </w:rPr>
            </w:pPr>
            <w:r>
              <w:rPr>
                <w:rFonts w:hint="default" w:ascii="Times New Roman" w:hAnsi="Times New Roman" w:cs="Times New Roman"/>
                <w:b/>
                <w:sz w:val="21"/>
                <w:szCs w:val="21"/>
              </w:rPr>
              <w:t xml:space="preserve">                    </w:t>
            </w:r>
            <w:r>
              <w:rPr>
                <w:rFonts w:hint="default" w:ascii="Times New Roman" w:hAnsi="Times New Roman" w:cs="Times New Roman"/>
                <w:kern w:val="0"/>
              </w:rPr>
              <w:t xml:space="preserve">   </w:t>
            </w:r>
            <m:oMath>
              <m:sSub>
                <m:sSubPr>
                  <m:ctrlPr>
                    <w:rPr>
                      <w:rFonts w:hint="default" w:ascii="Cambria Math" w:hAnsi="Cambria Math" w:cs="Times New Roman"/>
                      <w:kern w:val="0"/>
                    </w:rPr>
                  </m:ctrlPr>
                </m:sSubPr>
                <m:e>
                  <m:r>
                    <w:rPr>
                      <w:rFonts w:hint="default" w:ascii="Cambria Math" w:hAnsi="Cambria Math" w:cs="Times New Roman"/>
                      <w:kern w:val="0"/>
                    </w:rPr>
                    <m:t>L</m:t>
                  </m:r>
                  <m:ctrlPr>
                    <w:rPr>
                      <w:rFonts w:hint="default" w:ascii="Cambria Math" w:hAnsi="Cambria Math" w:cs="Times New Roman"/>
                      <w:kern w:val="0"/>
                    </w:rPr>
                  </m:ctrlPr>
                </m:e>
                <m:sub>
                  <m:r>
                    <w:rPr>
                      <w:rFonts w:hint="default" w:ascii="Cambria Math" w:hAnsi="Cambria Math" w:cs="Times New Roman"/>
                      <w:kern w:val="0"/>
                    </w:rPr>
                    <m:t>eqg</m:t>
                  </m:r>
                  <m:ctrlPr>
                    <w:rPr>
                      <w:rFonts w:hint="default" w:ascii="Cambria Math" w:hAnsi="Cambria Math" w:cs="Times New Roman"/>
                      <w:kern w:val="0"/>
                    </w:rPr>
                  </m:ctrlPr>
                </m:sub>
              </m:sSub>
              <m:r>
                <m:rPr>
                  <m:sty m:val="p"/>
                </m:rPr>
                <w:rPr>
                  <w:rFonts w:hint="default" w:ascii="Cambria Math" w:hAnsi="Cambria Math" w:cs="Times New Roman"/>
                  <w:kern w:val="0"/>
                </w:rPr>
                <m:t>=10</m:t>
              </m:r>
              <m:r>
                <w:rPr>
                  <w:rFonts w:hint="default" w:ascii="Cambria Math" w:hAnsi="Cambria Math" w:cs="Times New Roman"/>
                  <w:kern w:val="0"/>
                </w:rPr>
                <m:t>lg</m:t>
              </m:r>
              <m:d>
                <m:dPr>
                  <m:begChr m:val="["/>
                  <m:endChr m:val="]"/>
                  <m:ctrlPr>
                    <w:rPr>
                      <w:rFonts w:hint="default" w:ascii="Cambria Math" w:hAnsi="Cambria Math" w:cs="Times New Roman"/>
                      <w:kern w:val="0"/>
                    </w:rPr>
                  </m:ctrlPr>
                </m:dPr>
                <m:e>
                  <m:f>
                    <m:fPr>
                      <m:ctrlPr>
                        <w:rPr>
                          <w:rFonts w:hint="default" w:ascii="Cambria Math" w:hAnsi="Cambria Math" w:cs="Times New Roman"/>
                          <w:kern w:val="0"/>
                        </w:rPr>
                      </m:ctrlPr>
                    </m:fPr>
                    <m:num>
                      <m:r>
                        <m:rPr>
                          <m:sty m:val="p"/>
                        </m:rPr>
                        <w:rPr>
                          <w:rFonts w:hint="default" w:ascii="Cambria Math" w:hAnsi="Cambria Math" w:cs="Times New Roman"/>
                          <w:kern w:val="0"/>
                        </w:rPr>
                        <m:t>1</m:t>
                      </m:r>
                      <m:ctrlPr>
                        <w:rPr>
                          <w:rFonts w:hint="default" w:ascii="Cambria Math" w:hAnsi="Cambria Math" w:cs="Times New Roman"/>
                          <w:kern w:val="0"/>
                        </w:rPr>
                      </m:ctrlPr>
                    </m:num>
                    <m:den>
                      <m:r>
                        <w:rPr>
                          <w:rFonts w:hint="default" w:ascii="Cambria Math" w:hAnsi="Cambria Math" w:cs="Times New Roman"/>
                          <w:kern w:val="0"/>
                        </w:rPr>
                        <m:t>T</m:t>
                      </m:r>
                      <m:ctrlPr>
                        <w:rPr>
                          <w:rFonts w:hint="default" w:ascii="Cambria Math" w:hAnsi="Cambria Math" w:cs="Times New Roman"/>
                          <w:kern w:val="0"/>
                        </w:rPr>
                      </m:ctrlPr>
                    </m:den>
                  </m:f>
                  <m:nary>
                    <m:naryPr>
                      <m:chr m:val="∑"/>
                      <m:limLoc m:val="undOvr"/>
                      <m:supHide m:val="1"/>
                      <m:ctrlPr>
                        <w:rPr>
                          <w:rFonts w:hint="default" w:ascii="Cambria Math" w:hAnsi="Cambria Math" w:cs="Times New Roman"/>
                          <w:kern w:val="0"/>
                        </w:rPr>
                      </m:ctrlPr>
                    </m:naryPr>
                    <m:sub>
                      <m:r>
                        <w:rPr>
                          <w:rFonts w:hint="default" w:ascii="Cambria Math" w:hAnsi="Cambria Math" w:cs="Times New Roman"/>
                          <w:kern w:val="0"/>
                        </w:rPr>
                        <m:t>i</m:t>
                      </m:r>
                      <m:ctrlPr>
                        <w:rPr>
                          <w:rFonts w:hint="default" w:ascii="Cambria Math" w:hAnsi="Cambria Math" w:cs="Times New Roman"/>
                          <w:kern w:val="0"/>
                        </w:rPr>
                      </m:ctrlPr>
                    </m:sub>
                    <m:sup>
                      <m:ctrlPr>
                        <w:rPr>
                          <w:rFonts w:hint="default" w:ascii="Cambria Math" w:hAnsi="Cambria Math" w:cs="Times New Roman"/>
                          <w:kern w:val="0"/>
                        </w:rPr>
                      </m:ctrlPr>
                    </m:sup>
                    <m:e>
                      <m:sSub>
                        <m:sSubPr>
                          <m:ctrlPr>
                            <w:rPr>
                              <w:rFonts w:hint="default" w:ascii="Cambria Math" w:hAnsi="Cambria Math" w:cs="Times New Roman"/>
                              <w:kern w:val="0"/>
                            </w:rPr>
                          </m:ctrlPr>
                        </m:sSubPr>
                        <m:e>
                          <m:r>
                            <w:rPr>
                              <w:rFonts w:hint="default" w:ascii="Cambria Math" w:hAnsi="Cambria Math" w:cs="Times New Roman"/>
                              <w:kern w:val="0"/>
                            </w:rPr>
                            <m:t>t</m:t>
                          </m:r>
                          <m:ctrlPr>
                            <w:rPr>
                              <w:rFonts w:hint="default" w:ascii="Cambria Math" w:hAnsi="Cambria Math" w:cs="Times New Roman"/>
                              <w:kern w:val="0"/>
                            </w:rPr>
                          </m:ctrlPr>
                        </m:e>
                        <m:sub>
                          <m:r>
                            <w:rPr>
                              <w:rFonts w:hint="default" w:ascii="Cambria Math" w:hAnsi="Cambria Math" w:cs="Times New Roman"/>
                              <w:kern w:val="0"/>
                            </w:rPr>
                            <m:t>i</m:t>
                          </m:r>
                          <m:ctrlPr>
                            <w:rPr>
                              <w:rFonts w:hint="default" w:ascii="Cambria Math" w:hAnsi="Cambria Math" w:cs="Times New Roman"/>
                              <w:kern w:val="0"/>
                            </w:rPr>
                          </m:ctrlPr>
                        </m:sub>
                      </m:sSub>
                      <m:sSup>
                        <m:sSupPr>
                          <m:ctrlPr>
                            <w:rPr>
                              <w:rFonts w:hint="default" w:ascii="Cambria Math" w:hAnsi="Cambria Math" w:cs="Times New Roman"/>
                              <w:kern w:val="0"/>
                            </w:rPr>
                          </m:ctrlPr>
                        </m:sSupPr>
                        <m:e>
                          <m:r>
                            <m:rPr>
                              <m:sty m:val="p"/>
                            </m:rPr>
                            <w:rPr>
                              <w:rFonts w:hint="default" w:ascii="Cambria Math" w:hAnsi="Cambria Math" w:cs="Times New Roman"/>
                              <w:kern w:val="0"/>
                            </w:rPr>
                            <m:t>10</m:t>
                          </m:r>
                          <m:ctrlPr>
                            <w:rPr>
                              <w:rFonts w:hint="default" w:ascii="Cambria Math" w:hAnsi="Cambria Math" w:cs="Times New Roman"/>
                              <w:kern w:val="0"/>
                            </w:rPr>
                          </m:ctrlPr>
                        </m:e>
                        <m:sup>
                          <m:r>
                            <m:rPr>
                              <m:sty m:val="p"/>
                            </m:rPr>
                            <w:rPr>
                              <w:rFonts w:hint="default" w:ascii="Cambria Math" w:hAnsi="Cambria Math" w:cs="Times New Roman"/>
                              <w:kern w:val="0"/>
                            </w:rPr>
                            <m:t>0.1</m:t>
                          </m:r>
                          <m:sSub>
                            <m:sSubPr>
                              <m:ctrlPr>
                                <w:rPr>
                                  <w:rFonts w:hint="default" w:ascii="Cambria Math" w:hAnsi="Cambria Math" w:cs="Times New Roman"/>
                                  <w:kern w:val="0"/>
                                </w:rPr>
                              </m:ctrlPr>
                            </m:sSubPr>
                            <m:e>
                              <m:r>
                                <w:rPr>
                                  <w:rFonts w:hint="default" w:ascii="Cambria Math" w:hAnsi="Cambria Math" w:cs="Times New Roman"/>
                                  <w:kern w:val="0"/>
                                </w:rPr>
                                <m:t>L</m:t>
                              </m:r>
                              <m:ctrlPr>
                                <w:rPr>
                                  <w:rFonts w:hint="default" w:ascii="Cambria Math" w:hAnsi="Cambria Math" w:cs="Times New Roman"/>
                                  <w:kern w:val="0"/>
                                </w:rPr>
                              </m:ctrlPr>
                            </m:e>
                            <m:sub>
                              <m:r>
                                <w:rPr>
                                  <w:rFonts w:hint="default" w:ascii="Cambria Math" w:hAnsi="Cambria Math" w:cs="Times New Roman"/>
                                  <w:kern w:val="0"/>
                                </w:rPr>
                                <m:t>Ai</m:t>
                              </m:r>
                              <m:ctrlPr>
                                <w:rPr>
                                  <w:rFonts w:hint="default" w:ascii="Cambria Math" w:hAnsi="Cambria Math" w:cs="Times New Roman"/>
                                  <w:kern w:val="0"/>
                                </w:rPr>
                              </m:ctrlPr>
                            </m:sub>
                          </m:sSub>
                          <m:ctrlPr>
                            <w:rPr>
                              <w:rFonts w:hint="default" w:ascii="Cambria Math" w:hAnsi="Cambria Math" w:cs="Times New Roman"/>
                              <w:kern w:val="0"/>
                            </w:rPr>
                          </m:ctrlPr>
                        </m:sup>
                      </m:sSup>
                      <m:ctrlPr>
                        <w:rPr>
                          <w:rFonts w:hint="default" w:ascii="Cambria Math" w:hAnsi="Cambria Math" w:cs="Times New Roman"/>
                          <w:kern w:val="0"/>
                        </w:rPr>
                      </m:ctrlPr>
                    </m:e>
                  </m:nary>
                  <m:ctrlPr>
                    <w:rPr>
                      <w:rFonts w:hint="default" w:ascii="Cambria Math" w:hAnsi="Cambria Math" w:cs="Times New Roman"/>
                      <w:kern w:val="0"/>
                    </w:rPr>
                  </m:ctrlPr>
                </m:e>
              </m:d>
            </m:oMath>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 xml:space="preserve">      式中： L</w:t>
            </w:r>
            <w:r>
              <w:rPr>
                <w:rFonts w:hint="default" w:ascii="Times New Roman" w:hAnsi="Times New Roman" w:cs="Times New Roman"/>
                <w:kern w:val="0"/>
                <w:vertAlign w:val="subscript"/>
              </w:rPr>
              <w:t>eqg</w:t>
            </w:r>
            <w:r>
              <w:rPr>
                <w:rFonts w:hint="default" w:ascii="Times New Roman" w:hAnsi="Times New Roman" w:cs="Times New Roman"/>
                <w:kern w:val="0"/>
              </w:rPr>
              <w:t>——噪声源在预测点的等效声级贡献值，dB（A）；</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 xml:space="preserve">             L</w:t>
            </w:r>
            <w:r>
              <w:rPr>
                <w:rFonts w:hint="default" w:ascii="Times New Roman" w:hAnsi="Times New Roman" w:cs="Times New Roman"/>
                <w:kern w:val="0"/>
                <w:vertAlign w:val="subscript"/>
              </w:rPr>
              <w:t>Ai</w:t>
            </w:r>
            <w:r>
              <w:rPr>
                <w:rFonts w:hint="default" w:ascii="Times New Roman" w:hAnsi="Times New Roman" w:cs="Times New Roman"/>
                <w:kern w:val="0"/>
              </w:rPr>
              <w:t>——i声源在预测点产生的A声级，dB（A）；</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 xml:space="preserve">             T——预测计算的时间段，s；</w:t>
            </w:r>
          </w:p>
          <w:p>
            <w:pPr>
              <w:overflowPunct w:val="0"/>
              <w:snapToGrid w:val="0"/>
              <w:ind w:firstLine="480" w:firstLineChars="200"/>
              <w:rPr>
                <w:rFonts w:hint="default" w:ascii="Times New Roman" w:hAnsi="Times New Roman" w:cs="Times New Roman"/>
                <w:kern w:val="0"/>
              </w:rPr>
            </w:pPr>
            <w:r>
              <w:rPr>
                <w:rFonts w:hint="default" w:ascii="Times New Roman" w:hAnsi="Times New Roman" w:cs="Times New Roman"/>
                <w:kern w:val="0"/>
              </w:rPr>
              <w:t xml:space="preserve">             t</w:t>
            </w:r>
            <w:r>
              <w:rPr>
                <w:rFonts w:hint="default" w:ascii="Times New Roman" w:hAnsi="Times New Roman" w:cs="Times New Roman"/>
                <w:kern w:val="0"/>
                <w:vertAlign w:val="subscript"/>
              </w:rPr>
              <w:t>i</w:t>
            </w:r>
            <w:r>
              <w:rPr>
                <w:rFonts w:hint="default" w:ascii="Times New Roman" w:hAnsi="Times New Roman" w:cs="Times New Roman"/>
                <w:kern w:val="0"/>
              </w:rPr>
              <w:t>——i声源在T时段内的运行时间，s。</w:t>
            </w:r>
          </w:p>
          <w:p>
            <w:pPr>
              <w:pStyle w:val="55"/>
              <w:spacing w:line="360" w:lineRule="auto"/>
              <w:ind w:firstLine="480" w:firstLineChars="200"/>
              <w:jc w:val="both"/>
              <w:rPr>
                <w:rFonts w:hint="default" w:ascii="Times New Roman" w:hAnsi="Times New Roman" w:eastAsia="宋体" w:cs="Times New Roman"/>
                <w:szCs w:val="20"/>
              </w:rPr>
            </w:pPr>
            <w:r>
              <w:rPr>
                <w:rFonts w:hint="default" w:ascii="Times New Roman" w:hAnsi="Times New Roman" w:eastAsia="宋体" w:cs="Times New Roman"/>
                <w:szCs w:val="20"/>
              </w:rPr>
              <w:t>将生产设备在预测点的噪声衰减值代入上式计算，得知设备在预测点的噪声值为58.7 dB（A）。项目厂界噪声值可实现达标排放，项目生产噪声对周边环境影响较小。</w:t>
            </w:r>
          </w:p>
          <w:p>
            <w:pPr>
              <w:pStyle w:val="53"/>
              <w:spacing w:line="360" w:lineRule="auto"/>
              <w:ind w:firstLine="480"/>
              <w:jc w:val="both"/>
              <w:rPr>
                <w:rFonts w:hint="default" w:ascii="Times New Roman" w:hAnsi="Times New Roman" w:eastAsia="宋体" w:cs="Times New Roman"/>
                <w:szCs w:val="20"/>
              </w:rPr>
            </w:pPr>
            <w:r>
              <w:rPr>
                <w:rFonts w:hint="default" w:ascii="Times New Roman" w:hAnsi="Times New Roman" w:eastAsia="宋体" w:cs="Times New Roman"/>
                <w:szCs w:val="20"/>
              </w:rPr>
              <w:t>项目运营期间厂界排放噪声满足《工业企业厂界环境噪声排放标准》（GB12348-2008）中3类标准限值要求。</w:t>
            </w:r>
          </w:p>
          <w:p>
            <w:pPr>
              <w:ind w:firstLine="482" w:firstLineChars="200"/>
              <w:rPr>
                <w:rFonts w:hint="default" w:ascii="Times New Roman" w:hAnsi="Times New Roman" w:cs="Times New Roman"/>
                <w:b/>
              </w:rPr>
            </w:pPr>
            <w:r>
              <w:rPr>
                <w:rFonts w:hint="default" w:ascii="Times New Roman" w:hAnsi="Times New Roman" w:cs="Times New Roman"/>
                <w:b/>
              </w:rPr>
              <w:t>四、固体废弃物环境影响分析</w:t>
            </w:r>
          </w:p>
          <w:p>
            <w:pPr>
              <w:ind w:firstLine="480" w:firstLineChars="200"/>
              <w:rPr>
                <w:rFonts w:hint="default" w:ascii="Times New Roman" w:hAnsi="Times New Roman" w:cs="Times New Roman"/>
              </w:rPr>
            </w:pPr>
            <w:r>
              <w:rPr>
                <w:rFonts w:hint="default" w:ascii="Times New Roman" w:hAnsi="Times New Roman" w:cs="Times New Roman"/>
              </w:rPr>
              <w:t>本项目产生的固体废弃物为修饰工序产生的边角料</w:t>
            </w:r>
            <w:r>
              <w:rPr>
                <w:rFonts w:hint="eastAsia" w:cs="Times New Roman"/>
                <w:lang w:eastAsia="zh-CN"/>
              </w:rPr>
              <w:t>、</w:t>
            </w:r>
            <w:r>
              <w:rPr>
                <w:rFonts w:hint="default" w:ascii="Times New Roman" w:hAnsi="Times New Roman" w:cs="Times New Roman"/>
              </w:rPr>
              <w:t>员工生活垃圾</w:t>
            </w:r>
            <w:r>
              <w:rPr>
                <w:rFonts w:hint="eastAsia" w:cs="Times New Roman"/>
                <w:lang w:eastAsia="zh-CN"/>
              </w:rPr>
              <w:t>及废弃润滑油</w:t>
            </w:r>
            <w:r>
              <w:rPr>
                <w:rFonts w:hint="default" w:ascii="Times New Roman" w:hAnsi="Times New Roman" w:cs="Times New Roman"/>
              </w:rPr>
              <w:t>。</w:t>
            </w:r>
          </w:p>
          <w:p>
            <w:pPr>
              <w:ind w:firstLine="480" w:firstLineChars="200"/>
              <w:rPr>
                <w:rFonts w:hint="default" w:ascii="Times New Roman" w:hAnsi="Times New Roman" w:cs="Times New Roman"/>
              </w:rPr>
            </w:pPr>
            <w:r>
              <w:rPr>
                <w:rFonts w:hint="default" w:ascii="Times New Roman" w:hAnsi="Times New Roman" w:cs="Times New Roman"/>
              </w:rPr>
              <w:t>（1）边角料</w:t>
            </w:r>
          </w:p>
          <w:p>
            <w:pPr>
              <w:ind w:firstLine="480" w:firstLineChars="200"/>
              <w:rPr>
                <w:rFonts w:hint="default" w:ascii="Times New Roman" w:hAnsi="Times New Roman" w:cs="Times New Roman"/>
              </w:rPr>
            </w:pPr>
            <w:r>
              <w:rPr>
                <w:rFonts w:hint="default" w:ascii="Times New Roman" w:hAnsi="Times New Roman" w:cs="Times New Roman"/>
              </w:rPr>
              <w:t>本项目修饰工序产生边角料约2.4t/a，作为生产原料回用于生产。</w:t>
            </w:r>
          </w:p>
          <w:p>
            <w:pPr>
              <w:ind w:firstLine="480" w:firstLineChars="200"/>
              <w:rPr>
                <w:rFonts w:hint="default" w:ascii="Times New Roman" w:hAnsi="Times New Roman" w:cs="Times New Roman"/>
              </w:rPr>
            </w:pPr>
            <w:r>
              <w:rPr>
                <w:rFonts w:hint="default" w:ascii="Times New Roman" w:hAnsi="Times New Roman" w:cs="Times New Roman"/>
              </w:rPr>
              <w:t>（2）员工生活垃圾</w:t>
            </w:r>
          </w:p>
          <w:p>
            <w:pPr>
              <w:ind w:firstLine="480" w:firstLineChars="200"/>
              <w:rPr>
                <w:rFonts w:hint="default" w:ascii="Times New Roman" w:hAnsi="Times New Roman" w:cs="Times New Roman"/>
              </w:rPr>
            </w:pPr>
            <w:r>
              <w:rPr>
                <w:rFonts w:hint="default" w:ascii="Times New Roman" w:hAnsi="Times New Roman" w:cs="Times New Roman"/>
              </w:rPr>
              <w:t>本项目产生员工生活垃圾2.92t/a，本环评要求设置垃圾箱对员工生活垃圾进行统一收集，定期交由当地环卫部门进行处理。</w:t>
            </w:r>
          </w:p>
          <w:p>
            <w:pPr>
              <w:widowControl/>
              <w:numPr>
                <w:ilvl w:val="0"/>
                <w:numId w:val="1"/>
              </w:numPr>
              <w:ind w:firstLine="480" w:firstLineChars="200"/>
              <w:rPr>
                <w:rFonts w:hint="eastAsia" w:cs="Times New Roman"/>
                <w:kern w:val="0"/>
                <w:lang w:eastAsia="zh-CN"/>
              </w:rPr>
            </w:pPr>
            <w:r>
              <w:rPr>
                <w:rFonts w:hint="eastAsia" w:cs="Times New Roman"/>
                <w:kern w:val="0"/>
                <w:lang w:eastAsia="zh-CN"/>
              </w:rPr>
              <w:t>废弃润滑油</w:t>
            </w:r>
          </w:p>
          <w:p>
            <w:pPr>
              <w:ind w:firstLine="480" w:firstLineChars="200"/>
              <w:rPr>
                <w:rFonts w:hint="eastAsia" w:cs="Times New Roman"/>
                <w:kern w:val="0"/>
                <w:lang w:eastAsia="zh-CN"/>
              </w:rPr>
            </w:pPr>
            <w:r>
              <w:rPr>
                <w:rFonts w:hint="default" w:ascii="Times New Roman" w:hAnsi="Times New Roman" w:cs="Times New Roman"/>
              </w:rPr>
              <w:t>本项目生产过程中使用的机械设备需定期更换润滑油以保证设备正常运转，预计每年需更换润滑油</w:t>
            </w:r>
            <w:r>
              <w:rPr>
                <w:rFonts w:hint="eastAsia" w:cs="Times New Roman"/>
                <w:lang w:eastAsia="zh-CN"/>
              </w:rPr>
              <w:t>约</w:t>
            </w:r>
            <w:r>
              <w:rPr>
                <w:rFonts w:hint="eastAsia" w:cs="Times New Roman"/>
                <w:lang w:val="en-US" w:eastAsia="zh-CN"/>
              </w:rPr>
              <w:t>1</w:t>
            </w:r>
            <w:r>
              <w:rPr>
                <w:rFonts w:hint="default" w:ascii="Times New Roman" w:hAnsi="Times New Roman" w:cs="Times New Roman"/>
              </w:rPr>
              <w:t>0kg。根据《国家危险废物名录》（2016年版），润滑油的包装物、沾有油污的废棉布和更换下来的废弃润滑油为HW08类危险废物，废物代码为900-217-08，</w:t>
            </w:r>
            <w:r>
              <w:rPr>
                <w:rFonts w:hint="eastAsia" w:ascii="Times New Roman" w:hAnsi="Times New Roman" w:cs="Times New Roman"/>
              </w:rPr>
              <w:t>本项目产生的废润滑油采用</w:t>
            </w:r>
            <w:r>
              <w:rPr>
                <w:rFonts w:hint="eastAsia" w:cs="Times New Roman"/>
                <w:lang w:eastAsia="zh-CN"/>
              </w:rPr>
              <w:t>满足</w:t>
            </w:r>
            <w:r>
              <w:rPr>
                <w:rFonts w:ascii="Times New Roman" w:hAnsi="Times New Roman"/>
                <w:szCs w:val="24"/>
              </w:rPr>
              <w:t>《危险废物贮存污染控制标准》（GB18597-2001）</w:t>
            </w:r>
            <w:r>
              <w:rPr>
                <w:rFonts w:hint="eastAsia"/>
                <w:szCs w:val="24"/>
                <w:lang w:eastAsia="zh-CN"/>
              </w:rPr>
              <w:t>的</w:t>
            </w:r>
            <w:r>
              <w:rPr>
                <w:rFonts w:hint="eastAsia" w:cs="Times New Roman"/>
                <w:lang w:eastAsia="zh-CN"/>
              </w:rPr>
              <w:t>专用</w:t>
            </w:r>
            <w:r>
              <w:rPr>
                <w:rFonts w:hint="default" w:ascii="Times New Roman" w:hAnsi="Times New Roman" w:cs="Times New Roman"/>
                <w:highlight w:val="none"/>
              </w:rPr>
              <w:t>桶收集储存，</w:t>
            </w:r>
            <w:r>
              <w:rPr>
                <w:rFonts w:hint="eastAsia" w:ascii="Times New Roman" w:hAnsi="Times New Roman" w:cs="Times New Roman"/>
                <w:highlight w:val="none"/>
              </w:rPr>
              <w:t>定</w:t>
            </w:r>
            <w:r>
              <w:rPr>
                <w:rFonts w:hint="eastAsia" w:ascii="Times New Roman" w:hAnsi="Times New Roman" w:cs="Times New Roman"/>
              </w:rPr>
              <w:t>期</w:t>
            </w:r>
            <w:r>
              <w:rPr>
                <w:rFonts w:hint="default" w:ascii="Times New Roman" w:hAnsi="Times New Roman" w:cs="Times New Roman"/>
              </w:rPr>
              <w:t>交由</w:t>
            </w:r>
            <w:r>
              <w:rPr>
                <w:rFonts w:hint="eastAsia" w:ascii="Times New Roman" w:hAnsi="Times New Roman" w:cs="Times New Roman"/>
              </w:rPr>
              <w:t>有资质的单位</w:t>
            </w:r>
            <w:r>
              <w:rPr>
                <w:rFonts w:hint="default" w:ascii="Times New Roman" w:hAnsi="Times New Roman" w:cs="Times New Roman"/>
              </w:rPr>
              <w:t>处置。</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本项目固体废物产生及治理汇总内容见表4.1。</w:t>
            </w:r>
          </w:p>
          <w:p>
            <w:pPr>
              <w:spacing w:line="240" w:lineRule="auto"/>
              <w:ind w:firstLine="482"/>
              <w:jc w:val="center"/>
              <w:rPr>
                <w:rFonts w:hint="default" w:ascii="Times New Roman" w:hAnsi="Times New Roman" w:cs="Times New Roman"/>
                <w:b/>
                <w:sz w:val="21"/>
                <w:szCs w:val="21"/>
              </w:rPr>
            </w:pPr>
            <w:r>
              <w:rPr>
                <w:rFonts w:hint="default" w:ascii="Times New Roman" w:hAnsi="Times New Roman" w:cs="Times New Roman"/>
                <w:b/>
                <w:sz w:val="21"/>
                <w:szCs w:val="21"/>
              </w:rPr>
              <w:t>表4.1    固体废物产生及治理情况一览表</w:t>
            </w:r>
          </w:p>
          <w:tbl>
            <w:tblPr>
              <w:tblStyle w:val="14"/>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1929"/>
              <w:gridCol w:w="6339"/>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31"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固废名称</w:t>
                  </w:r>
                </w:p>
              </w:tc>
              <w:tc>
                <w:tcPr>
                  <w:tcW w:w="926"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产生量（t/a）</w:t>
                  </w:r>
                </w:p>
              </w:tc>
              <w:tc>
                <w:tcPr>
                  <w:tcW w:w="3043"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处置方式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31"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kern w:val="0"/>
                      <w:sz w:val="21"/>
                      <w:szCs w:val="21"/>
                    </w:rPr>
                    <w:t>边角料</w:t>
                  </w:r>
                </w:p>
              </w:tc>
              <w:tc>
                <w:tcPr>
                  <w:tcW w:w="926"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2.4</w:t>
                  </w:r>
                </w:p>
              </w:tc>
              <w:tc>
                <w:tcPr>
                  <w:tcW w:w="3043" w:type="pct"/>
                  <w:vAlign w:val="center"/>
                </w:tcPr>
                <w:p>
                  <w:pPr>
                    <w:spacing w:line="240" w:lineRule="auto"/>
                    <w:jc w:val="center"/>
                    <w:rPr>
                      <w:rFonts w:hint="default" w:ascii="Times New Roman" w:hAnsi="Times New Roman" w:cs="Times New Roman"/>
                      <w:color w:val="FF0000"/>
                      <w:sz w:val="21"/>
                      <w:szCs w:val="21"/>
                    </w:rPr>
                  </w:pPr>
                  <w:r>
                    <w:rPr>
                      <w:rFonts w:hint="default" w:ascii="Times New Roman" w:hAnsi="Times New Roman" w:cs="Times New Roman"/>
                      <w:sz w:val="21"/>
                      <w:szCs w:val="21"/>
                    </w:rPr>
                    <w:t>作为生产原料回用于生产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31"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kern w:val="0"/>
                      <w:sz w:val="21"/>
                      <w:szCs w:val="21"/>
                    </w:rPr>
                    <w:t>生活垃圾</w:t>
                  </w:r>
                </w:p>
              </w:tc>
              <w:tc>
                <w:tcPr>
                  <w:tcW w:w="926"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2.92</w:t>
                  </w:r>
                </w:p>
              </w:tc>
              <w:tc>
                <w:tcPr>
                  <w:tcW w:w="3043"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设置垃圾箱统一收集，定期交由当地环卫部门处理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31" w:type="pct"/>
                  <w:vAlign w:val="center"/>
                </w:tcPr>
                <w:p>
                  <w:pPr>
                    <w:spacing w:line="240" w:lineRule="auto"/>
                    <w:jc w:val="center"/>
                    <w:rPr>
                      <w:rFonts w:hint="eastAsia" w:ascii="Times New Roman" w:hAnsi="Times New Roman" w:eastAsia="宋体" w:cs="Times New Roman"/>
                      <w:kern w:val="0"/>
                      <w:sz w:val="21"/>
                      <w:szCs w:val="21"/>
                      <w:lang w:eastAsia="zh-CN"/>
                    </w:rPr>
                  </w:pPr>
                  <w:r>
                    <w:rPr>
                      <w:rFonts w:hint="eastAsia" w:cs="Times New Roman"/>
                      <w:kern w:val="0"/>
                      <w:sz w:val="21"/>
                      <w:szCs w:val="21"/>
                      <w:lang w:eastAsia="zh-CN"/>
                    </w:rPr>
                    <w:t>废弃润滑油</w:t>
                  </w:r>
                </w:p>
              </w:tc>
              <w:tc>
                <w:tcPr>
                  <w:tcW w:w="926" w:type="pct"/>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0.01</w:t>
                  </w:r>
                </w:p>
              </w:tc>
              <w:tc>
                <w:tcPr>
                  <w:tcW w:w="3043" w:type="pct"/>
                  <w:vAlign w:val="center"/>
                </w:tcPr>
                <w:p>
                  <w:pPr>
                    <w:spacing w:line="240" w:lineRule="auto"/>
                    <w:jc w:val="center"/>
                    <w:rPr>
                      <w:rFonts w:hint="eastAsia" w:ascii="Times New Roman" w:hAnsi="Times New Roman" w:eastAsia="宋体" w:cs="Times New Roman"/>
                      <w:sz w:val="21"/>
                      <w:szCs w:val="21"/>
                      <w:lang w:eastAsia="zh-CN"/>
                    </w:rPr>
                  </w:pPr>
                  <w:r>
                    <w:rPr>
                      <w:rFonts w:hint="eastAsia" w:cs="Times New Roman"/>
                      <w:sz w:val="21"/>
                      <w:szCs w:val="21"/>
                      <w:lang w:eastAsia="zh-CN"/>
                    </w:rPr>
                    <w:t>委托有资质单位处置</w:t>
                  </w:r>
                </w:p>
              </w:tc>
            </w:tr>
          </w:tbl>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综合上述，本项目运营期间各项固体废物均可得到妥善处理，对环境产生影响较小。</w:t>
            </w:r>
          </w:p>
          <w:p>
            <w:pPr>
              <w:ind w:firstLine="482" w:firstLineChars="200"/>
              <w:rPr>
                <w:rFonts w:hint="default" w:ascii="Times New Roman" w:hAnsi="Times New Roman" w:cs="Times New Roman"/>
                <w:b/>
              </w:rPr>
            </w:pPr>
            <w:r>
              <w:rPr>
                <w:rFonts w:hint="default" w:ascii="Times New Roman" w:hAnsi="Times New Roman" w:cs="Times New Roman"/>
                <w:b/>
              </w:rPr>
              <w:t>五、生态环境影响分析</w:t>
            </w:r>
          </w:p>
          <w:p>
            <w:pPr>
              <w:widowControl/>
              <w:ind w:firstLine="480" w:firstLineChars="200"/>
              <w:rPr>
                <w:rFonts w:hint="default" w:ascii="Times New Roman" w:hAnsi="Times New Roman" w:cs="Times New Roman"/>
                <w:kern w:val="0"/>
              </w:rPr>
            </w:pPr>
            <w:r>
              <w:rPr>
                <w:rFonts w:hint="default" w:ascii="Times New Roman" w:hAnsi="Times New Roman" w:cs="Times New Roman"/>
              </w:rPr>
              <w:t>本项目位于新疆昌吉回族自治州昌吉市大西渠镇闽昌工业园区内，厂区周边无珍稀动植物。项目生产对周边生态环境的主要影响因子为生产噪声，</w:t>
            </w:r>
            <w:r>
              <w:rPr>
                <w:rFonts w:hint="default" w:ascii="Times New Roman" w:hAnsi="Times New Roman" w:cs="Times New Roman"/>
                <w:kern w:val="0"/>
              </w:rPr>
              <w:t>各类设备产生的噪声和人员的活动将干扰和影响到厂区周边动物的正常生活，还可能影响其交配、产卵、孵化、妊娠或产仔等活动。</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项目生产会对周边生态环境造成一定影响，但通过环保措施的落实，减少污染物的排放可以有效地减少对周边生态环境的影响。</w:t>
            </w:r>
          </w:p>
          <w:p>
            <w:pPr>
              <w:widowControl/>
              <w:ind w:firstLine="482" w:firstLineChars="200"/>
              <w:rPr>
                <w:rFonts w:hint="default" w:ascii="Times New Roman" w:hAnsi="Times New Roman" w:cs="Times New Roman"/>
                <w:b/>
              </w:rPr>
            </w:pPr>
            <w:r>
              <w:rPr>
                <w:rFonts w:hint="default" w:ascii="Times New Roman" w:hAnsi="Times New Roman" w:cs="Times New Roman"/>
                <w:b/>
              </w:rPr>
              <w:t>六、环境风险分析</w:t>
            </w:r>
          </w:p>
          <w:p>
            <w:pPr>
              <w:widowControl/>
              <w:ind w:firstLine="482" w:firstLineChars="200"/>
              <w:rPr>
                <w:rFonts w:hint="default" w:ascii="Times New Roman" w:hAnsi="Times New Roman" w:cs="Times New Roman"/>
                <w:b/>
                <w:kern w:val="0"/>
              </w:rPr>
            </w:pPr>
            <w:r>
              <w:rPr>
                <w:rFonts w:hint="default" w:ascii="Times New Roman" w:hAnsi="Times New Roman" w:cs="Times New Roman"/>
                <w:b/>
                <w:kern w:val="0"/>
              </w:rPr>
              <w:t>6.1评价依据</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（1）环境风险调查</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本项目为高密度聚乙烯塑料瓶和塑料瓶盖生产项目。项目生产所涉及的危险物质为高密度聚乙烯。</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（2）环境风险潜势</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建设项目环境风险潜势由危险物质及工艺系统危险性（P）和环境敏感程度（E）共同决定，建设项目环境风险潜势划分见表6.1-1。</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其中危险物质及工艺系统危险性（P）由危险物质储存数量与危险物质储存临界量的比值（Q）与行业及生产工艺（M）决定。</w:t>
            </w:r>
          </w:p>
          <w:p>
            <w:pPr>
              <w:widowControl/>
              <w:ind w:firstLine="480" w:firstLineChars="200"/>
              <w:rPr>
                <w:rFonts w:hint="default" w:ascii="Times New Roman" w:hAnsi="Times New Roman" w:cs="Times New Roman"/>
                <w:kern w:val="0"/>
                <w:vertAlign w:val="subscript"/>
              </w:rPr>
            </w:pPr>
            <w:r>
              <w:rPr>
                <w:rFonts w:hint="default" w:ascii="Times New Roman" w:hAnsi="Times New Roman" w:cs="Times New Roman"/>
                <w:kern w:val="0"/>
              </w:rPr>
              <w:t xml:space="preserve">                                                            Q=q</w:t>
            </w:r>
            <w:r>
              <w:rPr>
                <w:rFonts w:hint="default" w:ascii="Times New Roman" w:hAnsi="Times New Roman" w:cs="Times New Roman"/>
                <w:kern w:val="0"/>
                <w:vertAlign w:val="subscript"/>
              </w:rPr>
              <w:t>1</w:t>
            </w:r>
            <w:r>
              <w:rPr>
                <w:rFonts w:hint="default" w:ascii="Times New Roman" w:hAnsi="Times New Roman" w:cs="Times New Roman"/>
                <w:kern w:val="0"/>
              </w:rPr>
              <w:t>/Q</w:t>
            </w:r>
            <w:r>
              <w:rPr>
                <w:rFonts w:hint="default" w:ascii="Times New Roman" w:hAnsi="Times New Roman" w:cs="Times New Roman"/>
                <w:kern w:val="0"/>
                <w:vertAlign w:val="subscript"/>
              </w:rPr>
              <w:t>1</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vertAlign w:val="subscript"/>
              </w:rPr>
              <w:t xml:space="preserve">                       </w:t>
            </w:r>
            <w:r>
              <w:rPr>
                <w:rFonts w:hint="default" w:ascii="Times New Roman" w:hAnsi="Times New Roman" w:cs="Times New Roman"/>
                <w:kern w:val="0"/>
              </w:rPr>
              <w:t>式中：                    q</w:t>
            </w:r>
            <w:r>
              <w:rPr>
                <w:rFonts w:hint="default" w:ascii="Times New Roman" w:hAnsi="Times New Roman" w:cs="Times New Roman"/>
                <w:kern w:val="0"/>
                <w:vertAlign w:val="subscript"/>
              </w:rPr>
              <w:t>1</w:t>
            </w:r>
            <w:r>
              <w:rPr>
                <w:rFonts w:hint="default" w:ascii="Times New Roman" w:hAnsi="Times New Roman" w:cs="Times New Roman"/>
                <w:kern w:val="0"/>
              </w:rPr>
              <w:t>--------------每种危险物质的最大存在总量，t。</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 xml:space="preserve">                                                Q</w:t>
            </w:r>
            <w:r>
              <w:rPr>
                <w:rFonts w:hint="default" w:ascii="Times New Roman" w:hAnsi="Times New Roman" w:cs="Times New Roman"/>
                <w:kern w:val="0"/>
                <w:vertAlign w:val="subscript"/>
              </w:rPr>
              <w:t>1</w:t>
            </w:r>
            <w:r>
              <w:rPr>
                <w:rFonts w:hint="default" w:ascii="Times New Roman" w:hAnsi="Times New Roman" w:cs="Times New Roman"/>
                <w:kern w:val="0"/>
              </w:rPr>
              <w:t>--------------每种危险物质的临界量，t。</w:t>
            </w:r>
          </w:p>
          <w:p>
            <w:pPr>
              <w:widowControl/>
              <w:ind w:firstLine="3360" w:firstLineChars="1400"/>
              <w:rPr>
                <w:rFonts w:hint="default" w:ascii="Times New Roman" w:hAnsi="Times New Roman" w:cs="Times New Roman"/>
                <w:kern w:val="0"/>
              </w:rPr>
            </w:pPr>
            <w:r>
              <w:rPr>
                <w:rFonts w:hint="default" w:ascii="Times New Roman" w:hAnsi="Times New Roman" w:cs="Times New Roman"/>
                <w:kern w:val="0"/>
              </w:rPr>
              <w:t>当Q&lt;1时，该项目环境风险潜势为I。</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 xml:space="preserve">   本项目日常储存高密度聚乙烯1t，小于《建设项目环境风险评价技术导则》（HJ169-2018）中附录B表B.2规定的健康危险急性毒性物质5t的临界储存量。</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本项目环境风险潜势为I。</w:t>
            </w:r>
          </w:p>
          <w:p>
            <w:pPr>
              <w:widowControl/>
              <w:spacing w:line="240" w:lineRule="auto"/>
              <w:ind w:firstLine="422" w:firstLineChars="200"/>
              <w:jc w:val="center"/>
              <w:rPr>
                <w:rFonts w:hint="default" w:ascii="Times New Roman" w:hAnsi="Times New Roman" w:cs="Times New Roman"/>
                <w:b/>
                <w:kern w:val="0"/>
                <w:sz w:val="21"/>
              </w:rPr>
            </w:pPr>
            <w:r>
              <w:rPr>
                <w:rFonts w:hint="default" w:ascii="Times New Roman" w:hAnsi="Times New Roman" w:cs="Times New Roman"/>
                <w:b/>
                <w:kern w:val="0"/>
                <w:sz w:val="21"/>
              </w:rPr>
              <w:t>表6.1-1    建设项目环境风险潜势划分一览表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7"/>
              <w:gridCol w:w="1965"/>
              <w:gridCol w:w="2081"/>
              <w:gridCol w:w="2081"/>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7" w:type="dxa"/>
                  <w:vMerge w:val="restart"/>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环境敏感程度（E）</w:t>
                  </w:r>
                </w:p>
              </w:tc>
              <w:tc>
                <w:tcPr>
                  <w:tcW w:w="8209" w:type="dxa"/>
                  <w:gridSpan w:val="4"/>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危险物质及工艺系统危险性（P）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7" w:type="dxa"/>
                  <w:vMerge w:val="continue"/>
                  <w:vAlign w:val="center"/>
                </w:tcPr>
                <w:p>
                  <w:pPr>
                    <w:widowControl/>
                    <w:spacing w:line="240" w:lineRule="auto"/>
                    <w:jc w:val="center"/>
                    <w:rPr>
                      <w:rFonts w:hint="default" w:ascii="Times New Roman" w:hAnsi="Times New Roman" w:cs="Times New Roman"/>
                      <w:kern w:val="0"/>
                      <w:sz w:val="21"/>
                      <w:szCs w:val="21"/>
                    </w:rPr>
                  </w:pPr>
                </w:p>
              </w:tc>
              <w:tc>
                <w:tcPr>
                  <w:tcW w:w="1965"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极高危害（P</w:t>
                  </w:r>
                  <w:r>
                    <w:rPr>
                      <w:rFonts w:hint="default" w:ascii="Times New Roman" w:hAnsi="Times New Roman" w:cs="Times New Roman"/>
                      <w:kern w:val="0"/>
                      <w:sz w:val="21"/>
                      <w:szCs w:val="21"/>
                      <w:vertAlign w:val="subscript"/>
                    </w:rPr>
                    <w:t>1</w:t>
                  </w:r>
                  <w:r>
                    <w:rPr>
                      <w:rFonts w:hint="default" w:ascii="Times New Roman" w:hAnsi="Times New Roman" w:cs="Times New Roman"/>
                      <w:kern w:val="0"/>
                      <w:sz w:val="21"/>
                      <w:szCs w:val="21"/>
                    </w:rPr>
                    <w:t>）</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高度危害（P</w:t>
                  </w:r>
                  <w:r>
                    <w:rPr>
                      <w:rFonts w:hint="default" w:ascii="Times New Roman" w:hAnsi="Times New Roman" w:cs="Times New Roman"/>
                      <w:kern w:val="0"/>
                      <w:sz w:val="21"/>
                      <w:szCs w:val="21"/>
                      <w:vertAlign w:val="subscript"/>
                    </w:rPr>
                    <w:t>2</w:t>
                  </w:r>
                  <w:r>
                    <w:rPr>
                      <w:rFonts w:hint="default" w:ascii="Times New Roman" w:hAnsi="Times New Roman" w:cs="Times New Roman"/>
                      <w:kern w:val="0"/>
                      <w:sz w:val="21"/>
                      <w:szCs w:val="21"/>
                    </w:rPr>
                    <w:t>）</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中度危害（P</w:t>
                  </w:r>
                  <w:r>
                    <w:rPr>
                      <w:rFonts w:hint="default" w:ascii="Times New Roman" w:hAnsi="Times New Roman" w:cs="Times New Roman"/>
                      <w:kern w:val="0"/>
                      <w:sz w:val="21"/>
                      <w:szCs w:val="21"/>
                      <w:vertAlign w:val="subscript"/>
                    </w:rPr>
                    <w:t>3</w:t>
                  </w:r>
                  <w:r>
                    <w:rPr>
                      <w:rFonts w:hint="default" w:ascii="Times New Roman" w:hAnsi="Times New Roman" w:cs="Times New Roman"/>
                      <w:kern w:val="0"/>
                      <w:sz w:val="21"/>
                      <w:szCs w:val="21"/>
                    </w:rPr>
                    <w:t>）</w:t>
                  </w:r>
                </w:p>
              </w:tc>
              <w:tc>
                <w:tcPr>
                  <w:tcW w:w="2082"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轻度危害（P</w:t>
                  </w:r>
                  <w:r>
                    <w:rPr>
                      <w:rFonts w:hint="default" w:ascii="Times New Roman" w:hAnsi="Times New Roman" w:cs="Times New Roman"/>
                      <w:kern w:val="0"/>
                      <w:sz w:val="21"/>
                      <w:szCs w:val="21"/>
                      <w:vertAlign w:val="subscript"/>
                    </w:rPr>
                    <w:t>4</w:t>
                  </w:r>
                  <w:r>
                    <w:rPr>
                      <w:rFonts w:hint="default" w:ascii="Times New Roman" w:hAnsi="Times New Roman" w:cs="Times New Roman"/>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7"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环境高度敏感区（E</w:t>
                  </w:r>
                  <w:r>
                    <w:rPr>
                      <w:rFonts w:hint="default" w:ascii="Times New Roman" w:hAnsi="Times New Roman" w:cs="Times New Roman"/>
                      <w:kern w:val="0"/>
                      <w:sz w:val="21"/>
                      <w:szCs w:val="21"/>
                      <w:vertAlign w:val="subscript"/>
                    </w:rPr>
                    <w:t>1</w:t>
                  </w:r>
                  <w:r>
                    <w:rPr>
                      <w:rFonts w:hint="default" w:ascii="Times New Roman" w:hAnsi="Times New Roman" w:cs="Times New Roman"/>
                      <w:kern w:val="0"/>
                      <w:sz w:val="21"/>
                      <w:szCs w:val="21"/>
                    </w:rPr>
                    <w:t>）</w:t>
                  </w:r>
                </w:p>
              </w:tc>
              <w:tc>
                <w:tcPr>
                  <w:tcW w:w="1965"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IV</w:t>
                  </w:r>
                  <w:r>
                    <w:rPr>
                      <w:rFonts w:hint="default" w:ascii="Times New Roman" w:hAnsi="Times New Roman" w:cs="Times New Roman"/>
                      <w:kern w:val="0"/>
                      <w:sz w:val="21"/>
                      <w:szCs w:val="21"/>
                      <w:vertAlign w:val="superscript"/>
                    </w:rPr>
                    <w:t>+</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IV</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Ⅲ</w:t>
                  </w:r>
                </w:p>
              </w:tc>
              <w:tc>
                <w:tcPr>
                  <w:tcW w:w="2082"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7"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环境中度敏感区（E</w:t>
                  </w:r>
                  <w:r>
                    <w:rPr>
                      <w:rFonts w:hint="default" w:ascii="Times New Roman" w:hAnsi="Times New Roman" w:cs="Times New Roman"/>
                      <w:kern w:val="0"/>
                      <w:sz w:val="21"/>
                      <w:szCs w:val="21"/>
                      <w:vertAlign w:val="subscript"/>
                    </w:rPr>
                    <w:t>2</w:t>
                  </w:r>
                  <w:r>
                    <w:rPr>
                      <w:rFonts w:hint="default" w:ascii="Times New Roman" w:hAnsi="Times New Roman" w:cs="Times New Roman"/>
                      <w:kern w:val="0"/>
                      <w:sz w:val="21"/>
                      <w:szCs w:val="21"/>
                    </w:rPr>
                    <w:t>）</w:t>
                  </w:r>
                </w:p>
              </w:tc>
              <w:tc>
                <w:tcPr>
                  <w:tcW w:w="1965"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IV</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Ⅲ</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Ⅲ</w:t>
                  </w:r>
                </w:p>
              </w:tc>
              <w:tc>
                <w:tcPr>
                  <w:tcW w:w="2082"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7"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环境低度敏感区（E</w:t>
                  </w:r>
                  <w:r>
                    <w:rPr>
                      <w:rFonts w:hint="default" w:ascii="Times New Roman" w:hAnsi="Times New Roman" w:cs="Times New Roman"/>
                      <w:kern w:val="0"/>
                      <w:sz w:val="21"/>
                      <w:szCs w:val="21"/>
                      <w:vertAlign w:val="subscript"/>
                    </w:rPr>
                    <w:t>3</w:t>
                  </w:r>
                  <w:r>
                    <w:rPr>
                      <w:rFonts w:hint="default" w:ascii="Times New Roman" w:hAnsi="Times New Roman" w:cs="Times New Roman"/>
                      <w:kern w:val="0"/>
                      <w:sz w:val="21"/>
                      <w:szCs w:val="21"/>
                    </w:rPr>
                    <w:t>）</w:t>
                  </w:r>
                </w:p>
              </w:tc>
              <w:tc>
                <w:tcPr>
                  <w:tcW w:w="1965"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Ⅲ</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Ⅲ</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Ⅱ</w:t>
                  </w:r>
                </w:p>
              </w:tc>
              <w:tc>
                <w:tcPr>
                  <w:tcW w:w="2082"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06" w:type="dxa"/>
                  <w:gridSpan w:val="5"/>
                  <w:vAlign w:val="center"/>
                </w:tcPr>
                <w:p>
                  <w:pPr>
                    <w:widowControl/>
                    <w:spacing w:line="240" w:lineRule="auto"/>
                    <w:rPr>
                      <w:rFonts w:hint="default" w:ascii="Times New Roman" w:hAnsi="Times New Roman" w:cs="Times New Roman"/>
                      <w:kern w:val="0"/>
                      <w:sz w:val="21"/>
                      <w:szCs w:val="21"/>
                    </w:rPr>
                  </w:pPr>
                  <w:r>
                    <w:rPr>
                      <w:rFonts w:hint="default" w:ascii="Times New Roman" w:hAnsi="Times New Roman" w:cs="Times New Roman"/>
                      <w:kern w:val="0"/>
                      <w:sz w:val="21"/>
                      <w:szCs w:val="21"/>
                    </w:rPr>
                    <w:t>注：IV</w:t>
                  </w:r>
                  <w:r>
                    <w:rPr>
                      <w:rFonts w:hint="default" w:ascii="Times New Roman" w:hAnsi="Times New Roman" w:cs="Times New Roman"/>
                      <w:kern w:val="0"/>
                      <w:sz w:val="21"/>
                      <w:szCs w:val="21"/>
                      <w:vertAlign w:val="superscript"/>
                    </w:rPr>
                    <w:t>+</w:t>
                  </w:r>
                  <w:r>
                    <w:rPr>
                      <w:rFonts w:hint="default" w:ascii="Times New Roman" w:hAnsi="Times New Roman" w:cs="Times New Roman"/>
                      <w:kern w:val="0"/>
                      <w:sz w:val="21"/>
                      <w:szCs w:val="21"/>
                    </w:rPr>
                    <w:t>为极高环境风险</w:t>
                  </w:r>
                </w:p>
              </w:tc>
            </w:tr>
          </w:tbl>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（3）风险评价等级</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根据《建设项目环境风险评价技术导则》（HJ169-2018）中表1规定，本项目环境风险评价等级为简单分析</w:t>
            </w:r>
            <w:r>
              <w:rPr>
                <w:rFonts w:hint="default" w:ascii="Times New Roman" w:hAnsi="Times New Roman" w:cs="Times New Roman"/>
                <w:kern w:val="0"/>
                <w:vertAlign w:val="superscript"/>
              </w:rPr>
              <w:t>a</w:t>
            </w:r>
            <w:r>
              <w:rPr>
                <w:rFonts w:hint="default" w:ascii="Times New Roman" w:hAnsi="Times New Roman" w:cs="Times New Roman"/>
                <w:kern w:val="0"/>
              </w:rPr>
              <w:t>。环境风险评价等级划分见下表。</w:t>
            </w:r>
          </w:p>
          <w:p>
            <w:pPr>
              <w:widowControl/>
              <w:spacing w:line="240" w:lineRule="auto"/>
              <w:ind w:firstLine="422" w:firstLineChars="200"/>
              <w:jc w:val="center"/>
              <w:rPr>
                <w:rFonts w:hint="default" w:ascii="Times New Roman" w:hAnsi="Times New Roman" w:cs="Times New Roman"/>
                <w:b/>
                <w:kern w:val="0"/>
                <w:sz w:val="21"/>
              </w:rPr>
            </w:pPr>
          </w:p>
          <w:p>
            <w:pPr>
              <w:widowControl/>
              <w:spacing w:line="240" w:lineRule="auto"/>
              <w:ind w:firstLine="422" w:firstLineChars="200"/>
              <w:jc w:val="center"/>
              <w:rPr>
                <w:rFonts w:hint="default" w:ascii="Times New Roman" w:hAnsi="Times New Roman" w:cs="Times New Roman"/>
                <w:b/>
                <w:kern w:val="0"/>
                <w:sz w:val="21"/>
              </w:rPr>
            </w:pPr>
          </w:p>
          <w:p>
            <w:pPr>
              <w:widowControl/>
              <w:spacing w:line="240" w:lineRule="auto"/>
              <w:ind w:firstLine="422" w:firstLineChars="200"/>
              <w:jc w:val="center"/>
              <w:rPr>
                <w:rFonts w:hint="default" w:ascii="Times New Roman" w:hAnsi="Times New Roman" w:cs="Times New Roman"/>
                <w:b/>
                <w:kern w:val="0"/>
                <w:sz w:val="21"/>
              </w:rPr>
            </w:pPr>
          </w:p>
          <w:p>
            <w:pPr>
              <w:widowControl/>
              <w:spacing w:line="240" w:lineRule="auto"/>
              <w:ind w:firstLine="422" w:firstLineChars="200"/>
              <w:jc w:val="center"/>
              <w:rPr>
                <w:rFonts w:hint="default" w:ascii="Times New Roman" w:hAnsi="Times New Roman" w:cs="Times New Roman"/>
                <w:b/>
                <w:kern w:val="0"/>
                <w:sz w:val="21"/>
              </w:rPr>
            </w:pPr>
            <w:r>
              <w:rPr>
                <w:rFonts w:hint="default" w:ascii="Times New Roman" w:hAnsi="Times New Roman" w:cs="Times New Roman"/>
                <w:b/>
                <w:kern w:val="0"/>
                <w:sz w:val="21"/>
              </w:rPr>
              <w:t>表6.1-2    评价工作等级划分</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1"/>
              <w:gridCol w:w="2081"/>
              <w:gridCol w:w="2081"/>
              <w:gridCol w:w="2081"/>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环境风险潜势</w:t>
                  </w:r>
                </w:p>
              </w:tc>
              <w:tc>
                <w:tcPr>
                  <w:tcW w:w="2081" w:type="dxa"/>
                  <w:vAlign w:val="center"/>
                </w:tcPr>
                <w:p>
                  <w:pPr>
                    <w:widowControl/>
                    <w:spacing w:line="240" w:lineRule="auto"/>
                    <w:jc w:val="center"/>
                    <w:rPr>
                      <w:rFonts w:hint="default" w:ascii="Times New Roman" w:hAnsi="Times New Roman" w:cs="Times New Roman"/>
                      <w:kern w:val="0"/>
                      <w:sz w:val="21"/>
                      <w:szCs w:val="21"/>
                      <w:vertAlign w:val="superscript"/>
                    </w:rPr>
                  </w:pPr>
                  <w:r>
                    <w:rPr>
                      <w:rFonts w:hint="default" w:ascii="Times New Roman" w:hAnsi="Times New Roman" w:cs="Times New Roman"/>
                      <w:kern w:val="0"/>
                      <w:sz w:val="21"/>
                      <w:szCs w:val="21"/>
                    </w:rPr>
                    <w:t>IV、IV</w:t>
                  </w:r>
                  <w:r>
                    <w:rPr>
                      <w:rFonts w:hint="default" w:ascii="Times New Roman" w:hAnsi="Times New Roman" w:cs="Times New Roman"/>
                      <w:kern w:val="0"/>
                      <w:sz w:val="21"/>
                      <w:szCs w:val="21"/>
                      <w:vertAlign w:val="superscript"/>
                    </w:rPr>
                    <w:t>+</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Ⅲ</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Ⅱ</w:t>
                  </w:r>
                </w:p>
              </w:tc>
              <w:tc>
                <w:tcPr>
                  <w:tcW w:w="2082"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评价工作等级</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一</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二</w:t>
                  </w:r>
                </w:p>
              </w:tc>
              <w:tc>
                <w:tcPr>
                  <w:tcW w:w="2081" w:type="dxa"/>
                  <w:vAlign w:val="center"/>
                </w:tcPr>
                <w:p>
                  <w:pPr>
                    <w:widowControl/>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三</w:t>
                  </w:r>
                </w:p>
              </w:tc>
              <w:tc>
                <w:tcPr>
                  <w:tcW w:w="2082" w:type="dxa"/>
                  <w:vAlign w:val="center"/>
                </w:tcPr>
                <w:p>
                  <w:pPr>
                    <w:widowControl/>
                    <w:spacing w:line="240" w:lineRule="auto"/>
                    <w:jc w:val="center"/>
                    <w:rPr>
                      <w:rFonts w:hint="default" w:ascii="Times New Roman" w:hAnsi="Times New Roman" w:cs="Times New Roman"/>
                      <w:kern w:val="0"/>
                      <w:sz w:val="21"/>
                      <w:szCs w:val="21"/>
                      <w:vertAlign w:val="superscript"/>
                    </w:rPr>
                  </w:pPr>
                  <w:r>
                    <w:rPr>
                      <w:rFonts w:hint="default" w:ascii="Times New Roman" w:hAnsi="Times New Roman" w:cs="Times New Roman"/>
                      <w:kern w:val="0"/>
                      <w:sz w:val="21"/>
                      <w:szCs w:val="21"/>
                    </w:rPr>
                    <w:t>简单分析</w:t>
                  </w:r>
                  <w:r>
                    <w:rPr>
                      <w:rFonts w:hint="default" w:ascii="Times New Roman" w:hAnsi="Times New Roman" w:cs="Times New Roman"/>
                      <w:kern w:val="0"/>
                      <w:sz w:val="21"/>
                      <w:szCs w:val="21"/>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6" w:type="dxa"/>
                  <w:gridSpan w:val="5"/>
                  <w:vAlign w:val="center"/>
                </w:tcPr>
                <w:p>
                  <w:pPr>
                    <w:widowControl/>
                    <w:spacing w:line="240" w:lineRule="auto"/>
                    <w:rPr>
                      <w:rFonts w:hint="default" w:ascii="Times New Roman" w:hAnsi="Times New Roman" w:cs="Times New Roman"/>
                      <w:kern w:val="0"/>
                      <w:sz w:val="21"/>
                      <w:szCs w:val="21"/>
                    </w:rPr>
                  </w:pPr>
                  <w:r>
                    <w:rPr>
                      <w:rFonts w:hint="default" w:ascii="Times New Roman" w:hAnsi="Times New Roman" w:cs="Times New Roman"/>
                      <w:kern w:val="0"/>
                      <w:sz w:val="21"/>
                      <w:szCs w:val="21"/>
                      <w:vertAlign w:val="superscript"/>
                    </w:rPr>
                    <w:t>a</w:t>
                  </w:r>
                  <w:r>
                    <w:rPr>
                      <w:rFonts w:hint="default" w:ascii="Times New Roman" w:hAnsi="Times New Roman" w:cs="Times New Roman"/>
                      <w:kern w:val="0"/>
                      <w:sz w:val="21"/>
                      <w:szCs w:val="21"/>
                      <w:vertAlign w:val="subscript"/>
                    </w:rPr>
                    <w:softHyphen/>
                  </w:r>
                  <w:r>
                    <w:rPr>
                      <w:rFonts w:hint="default" w:ascii="Times New Roman" w:hAnsi="Times New Roman" w:cs="Times New Roman"/>
                      <w:kern w:val="0"/>
                      <w:sz w:val="21"/>
                      <w:szCs w:val="21"/>
                    </w:rPr>
                    <w:t>是相对于详细评价工作内容而言，在描述危险物质、环境影响途径、环境危害后果、环境防范措施等方面给出定性的说明。</w:t>
                  </w:r>
                </w:p>
              </w:tc>
            </w:tr>
          </w:tbl>
          <w:p>
            <w:pPr>
              <w:widowControl/>
              <w:ind w:firstLine="482" w:firstLineChars="200"/>
              <w:rPr>
                <w:rFonts w:hint="default" w:ascii="Times New Roman" w:hAnsi="Times New Roman" w:cs="Times New Roman"/>
                <w:b/>
                <w:kern w:val="0"/>
              </w:rPr>
            </w:pPr>
            <w:r>
              <w:rPr>
                <w:rFonts w:hint="default" w:ascii="Times New Roman" w:hAnsi="Times New Roman" w:cs="Times New Roman"/>
                <w:b/>
                <w:kern w:val="0"/>
              </w:rPr>
              <w:t>6.2环境敏感目标概况</w:t>
            </w:r>
          </w:p>
          <w:p>
            <w:pPr>
              <w:widowControl/>
              <w:ind w:firstLine="480" w:firstLineChars="200"/>
              <w:rPr>
                <w:rFonts w:hint="default" w:ascii="Times New Roman" w:hAnsi="Times New Roman" w:cs="Times New Roman"/>
                <w:b/>
                <w:kern w:val="0"/>
              </w:rPr>
            </w:pPr>
            <w:r>
              <w:rPr>
                <w:rFonts w:hint="default" w:ascii="Times New Roman" w:hAnsi="Times New Roman" w:cs="Times New Roman"/>
                <w:szCs w:val="24"/>
              </w:rPr>
              <w:t>本项目</w:t>
            </w:r>
            <w:r>
              <w:rPr>
                <w:rFonts w:hint="default" w:ascii="Times New Roman" w:hAnsi="Times New Roman" w:cs="Times New Roman"/>
              </w:rPr>
              <w:t>位于新疆昌吉回族自治州昌吉市大西渠镇闽昌工业园区幸福大道，项目区周边无环境敏感目标。</w:t>
            </w:r>
          </w:p>
          <w:p>
            <w:pPr>
              <w:widowControl/>
              <w:ind w:firstLine="482" w:firstLineChars="200"/>
              <w:rPr>
                <w:rFonts w:hint="default" w:ascii="Times New Roman" w:hAnsi="Times New Roman" w:cs="Times New Roman"/>
                <w:b/>
                <w:kern w:val="0"/>
              </w:rPr>
            </w:pPr>
            <w:r>
              <w:rPr>
                <w:rFonts w:hint="default" w:ascii="Times New Roman" w:hAnsi="Times New Roman" w:cs="Times New Roman"/>
                <w:b/>
                <w:kern w:val="0"/>
              </w:rPr>
              <w:t>6.3环境风险识别</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本项目为高密度聚乙烯塑料瓶及塑料瓶盖生产项目，项目环境风险类型主要为火灾引发的伴生污染。</w:t>
            </w:r>
          </w:p>
          <w:p>
            <w:pPr>
              <w:widowControl/>
              <w:ind w:firstLine="482" w:firstLineChars="200"/>
              <w:rPr>
                <w:rFonts w:hint="default" w:ascii="Times New Roman" w:hAnsi="Times New Roman" w:cs="Times New Roman"/>
                <w:b/>
                <w:szCs w:val="24"/>
              </w:rPr>
            </w:pPr>
            <w:r>
              <w:rPr>
                <w:rFonts w:hint="default" w:ascii="Times New Roman" w:hAnsi="Times New Roman" w:cs="Times New Roman"/>
                <w:b/>
                <w:szCs w:val="24"/>
              </w:rPr>
              <w:t>6.3.1环境风险物质识别</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本项目突发环境事件产生的环境风险物质为高密度聚乙烯燃烧产生的一氧化碳。</w:t>
            </w:r>
          </w:p>
          <w:p>
            <w:pPr>
              <w:widowControl/>
              <w:ind w:firstLine="482" w:firstLineChars="200"/>
              <w:rPr>
                <w:rFonts w:hint="default" w:ascii="Times New Roman" w:hAnsi="Times New Roman" w:cs="Times New Roman"/>
                <w:b/>
                <w:szCs w:val="24"/>
              </w:rPr>
            </w:pPr>
            <w:r>
              <w:rPr>
                <w:rFonts w:hint="default" w:ascii="Times New Roman" w:hAnsi="Times New Roman" w:cs="Times New Roman"/>
                <w:b/>
                <w:szCs w:val="24"/>
              </w:rPr>
              <w:t>6.3.2生产系统危险性识别</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项目具有风险性的生产系统为储存仓库。当仓库发生火灾时，生产成品和生产原料会产生大量一氧化碳污染周边环境。</w:t>
            </w:r>
          </w:p>
          <w:p>
            <w:pPr>
              <w:widowControl/>
              <w:ind w:firstLine="482" w:firstLineChars="200"/>
              <w:rPr>
                <w:rFonts w:hint="default" w:ascii="Times New Roman" w:hAnsi="Times New Roman" w:cs="Times New Roman"/>
                <w:b/>
                <w:szCs w:val="24"/>
              </w:rPr>
            </w:pPr>
            <w:r>
              <w:rPr>
                <w:rFonts w:hint="default" w:ascii="Times New Roman" w:hAnsi="Times New Roman" w:cs="Times New Roman"/>
                <w:b/>
                <w:szCs w:val="24"/>
              </w:rPr>
              <w:t>6.3.3危险物质转移途径识别</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本项目环境风险物质以气体扩散的方式向周边环境转移。</w:t>
            </w:r>
          </w:p>
          <w:p>
            <w:pPr>
              <w:widowControl/>
              <w:ind w:firstLine="482" w:firstLineChars="200"/>
              <w:rPr>
                <w:rFonts w:hint="default" w:ascii="Times New Roman" w:hAnsi="Times New Roman" w:cs="Times New Roman"/>
                <w:b/>
                <w:kern w:val="0"/>
              </w:rPr>
            </w:pPr>
            <w:r>
              <w:rPr>
                <w:rFonts w:hint="default" w:ascii="Times New Roman" w:hAnsi="Times New Roman" w:cs="Times New Roman"/>
                <w:b/>
                <w:kern w:val="0"/>
              </w:rPr>
              <w:t>6.4环境风险分析</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当发生突发环境风险事件时，产生的有害气体（一氧化碳）会对项目区周边环境、动植物及人群产生一定影响，严重情况下可造成周边人群一氧化碳中毒。</w:t>
            </w:r>
          </w:p>
          <w:p>
            <w:pPr>
              <w:widowControl/>
              <w:ind w:firstLine="482" w:firstLineChars="200"/>
              <w:rPr>
                <w:rFonts w:hint="default" w:ascii="Times New Roman" w:hAnsi="Times New Roman" w:cs="Times New Roman"/>
                <w:b/>
                <w:kern w:val="0"/>
              </w:rPr>
            </w:pPr>
            <w:r>
              <w:rPr>
                <w:rFonts w:hint="default" w:ascii="Times New Roman" w:hAnsi="Times New Roman" w:cs="Times New Roman"/>
                <w:b/>
                <w:kern w:val="0"/>
              </w:rPr>
              <w:t>6.5环境风险防范措施及应急要求</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本项目环境风险防范措施分为源头预防措施和急救应急措施。</w:t>
            </w:r>
          </w:p>
          <w:p>
            <w:pPr>
              <w:widowControl/>
              <w:ind w:firstLine="482" w:firstLineChars="200"/>
              <w:rPr>
                <w:rFonts w:hint="default" w:ascii="Times New Roman" w:hAnsi="Times New Roman" w:cs="Times New Roman"/>
                <w:b/>
                <w:kern w:val="0"/>
              </w:rPr>
            </w:pPr>
            <w:r>
              <w:rPr>
                <w:rFonts w:hint="default" w:ascii="Times New Roman" w:hAnsi="Times New Roman" w:cs="Times New Roman"/>
                <w:b/>
                <w:kern w:val="0"/>
              </w:rPr>
              <w:t>6.5.1源头预防措施</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源头预防措施如下：</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（1）定时对仓库进行检查；</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（2）禁止携带易燃物及火源进入仓库作业；</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（3）仓库配备一定消防设备，如泡沫灭火器、沙子、防毒面具等。</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当发生突发环境风险事件时，急救应急措施如下：</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（1）及时组织人员对突发环境事件进行控制，并向当地园区管委会报告环境风险事件；</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（2）当环境风险事件超出公司内部处理应急能力范围，应及时向当地消防大队请求救援，并配合相关部门开展调查工作；</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（3）当突发环境事件发生时，应组织人员向周边企业及人群发出通告，禁止人群向项目区靠近，做好疏散工作。</w:t>
            </w:r>
          </w:p>
          <w:p>
            <w:pPr>
              <w:widowControl/>
              <w:ind w:firstLine="482" w:firstLineChars="200"/>
              <w:rPr>
                <w:rFonts w:hint="default" w:ascii="Times New Roman" w:hAnsi="Times New Roman" w:cs="Times New Roman"/>
                <w:b/>
                <w:kern w:val="0"/>
              </w:rPr>
            </w:pPr>
            <w:r>
              <w:rPr>
                <w:rFonts w:hint="default" w:ascii="Times New Roman" w:hAnsi="Times New Roman" w:cs="Times New Roman"/>
                <w:b/>
                <w:kern w:val="0"/>
              </w:rPr>
              <w:t>6.6分析结论</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本项目突发环境风险事件防范及应急措施有效可行，可有效控制环境风险事件及风险事件对周边环境、人群带来的危害。本项目环境风险可接受。</w:t>
            </w:r>
          </w:p>
          <w:p>
            <w:pPr>
              <w:widowControl/>
              <w:ind w:firstLine="480" w:firstLineChars="200"/>
              <w:rPr>
                <w:rFonts w:hint="default" w:ascii="Times New Roman" w:hAnsi="Times New Roman" w:cs="Times New Roman"/>
                <w:szCs w:val="24"/>
              </w:rPr>
            </w:pPr>
            <w:r>
              <w:rPr>
                <w:rFonts w:hint="default" w:ascii="Times New Roman" w:hAnsi="Times New Roman" w:cs="Times New Roman"/>
                <w:szCs w:val="24"/>
              </w:rPr>
              <w:t>项目环境风险简单分析内容表见表6.6-1。</w:t>
            </w:r>
          </w:p>
          <w:p>
            <w:pPr>
              <w:widowControl/>
              <w:spacing w:line="240" w:lineRule="auto"/>
              <w:ind w:firstLine="422" w:firstLineChars="200"/>
              <w:jc w:val="center"/>
              <w:rPr>
                <w:rFonts w:hint="default" w:ascii="Times New Roman" w:hAnsi="Times New Roman" w:cs="Times New Roman"/>
                <w:b/>
                <w:sz w:val="21"/>
                <w:szCs w:val="24"/>
              </w:rPr>
            </w:pPr>
            <w:r>
              <w:rPr>
                <w:rFonts w:hint="default" w:ascii="Times New Roman" w:hAnsi="Times New Roman" w:cs="Times New Roman"/>
                <w:b/>
                <w:sz w:val="21"/>
                <w:szCs w:val="24"/>
              </w:rPr>
              <w:t>表6.6-1    建设项目环境风险简单分析内容表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4"/>
              <w:gridCol w:w="1454"/>
              <w:gridCol w:w="1734"/>
              <w:gridCol w:w="1348"/>
              <w:gridCol w:w="992"/>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建设项目名称</w:t>
                  </w:r>
                </w:p>
              </w:tc>
              <w:tc>
                <w:tcPr>
                  <w:tcW w:w="8392" w:type="dxa"/>
                  <w:gridSpan w:val="5"/>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昌吉市新方金食品包装有限公司HDPE塑料制品项目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建设地点</w:t>
                  </w:r>
                </w:p>
              </w:tc>
              <w:tc>
                <w:tcPr>
                  <w:tcW w:w="145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（新疆）省</w:t>
                  </w:r>
                </w:p>
              </w:tc>
              <w:tc>
                <w:tcPr>
                  <w:tcW w:w="173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（昌吉）市</w:t>
                  </w:r>
                </w:p>
              </w:tc>
              <w:tc>
                <w:tcPr>
                  <w:tcW w:w="1348"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（/）区</w:t>
                  </w:r>
                </w:p>
              </w:tc>
              <w:tc>
                <w:tcPr>
                  <w:tcW w:w="992"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（/）县</w:t>
                  </w:r>
                </w:p>
              </w:tc>
              <w:tc>
                <w:tcPr>
                  <w:tcW w:w="286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（大西渠镇闽昌工业）园区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地理坐标</w:t>
                  </w:r>
                </w:p>
              </w:tc>
              <w:tc>
                <w:tcPr>
                  <w:tcW w:w="145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经度</w:t>
                  </w:r>
                </w:p>
              </w:tc>
              <w:tc>
                <w:tcPr>
                  <w:tcW w:w="173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rPr>
                    <w:t>87°12'25.50"</w:t>
                  </w:r>
                </w:p>
              </w:tc>
              <w:tc>
                <w:tcPr>
                  <w:tcW w:w="1348"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纬度</w:t>
                  </w:r>
                </w:p>
              </w:tc>
              <w:tc>
                <w:tcPr>
                  <w:tcW w:w="3856" w:type="dxa"/>
                  <w:gridSpan w:val="2"/>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rPr>
                    <w:t>44° 1'51.53"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主要危险物质及分布</w:t>
                  </w:r>
                </w:p>
              </w:tc>
              <w:tc>
                <w:tcPr>
                  <w:tcW w:w="8392" w:type="dxa"/>
                  <w:gridSpan w:val="5"/>
                  <w:vAlign w:val="center"/>
                </w:tcPr>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项目主要危险物质为高密度聚乙烯，主要分布在项目储存仓库。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vAlign w:val="center"/>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环境影响途径及危害后果</w:t>
                  </w:r>
                </w:p>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（大气、地表水、地下水等）</w:t>
                  </w:r>
                </w:p>
              </w:tc>
              <w:tc>
                <w:tcPr>
                  <w:tcW w:w="8392" w:type="dxa"/>
                  <w:gridSpan w:val="5"/>
                  <w:vAlign w:val="center"/>
                </w:tcPr>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本项目突发环境风险事件产生的危险物质（一氧化碳）主要以空气扩散的模式进入周边环境，对周边环境、动植物及人群产生一定影响，严重时可造成周边人群一氧化碳中度。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4" w:type="dxa"/>
                  <w:vAlign w:val="center"/>
                </w:tcPr>
                <w:p>
                  <w:pPr>
                    <w:widowControl/>
                    <w:spacing w:line="240" w:lineRule="auto"/>
                    <w:jc w:val="center"/>
                    <w:rPr>
                      <w:rFonts w:hint="default" w:ascii="Times New Roman" w:hAnsi="Times New Roman" w:cs="Times New Roman"/>
                      <w:sz w:val="21"/>
                      <w:szCs w:val="24"/>
                    </w:rPr>
                  </w:pPr>
                  <w:r>
                    <w:rPr>
                      <w:rFonts w:hint="default" w:ascii="Times New Roman" w:hAnsi="Times New Roman" w:cs="Times New Roman"/>
                      <w:sz w:val="21"/>
                      <w:szCs w:val="24"/>
                    </w:rPr>
                    <w:t>风险防范措施要求</w:t>
                  </w:r>
                </w:p>
              </w:tc>
              <w:tc>
                <w:tcPr>
                  <w:tcW w:w="8392" w:type="dxa"/>
                  <w:gridSpan w:val="5"/>
                </w:tcPr>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源头预防措施如下：</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（1）定时对仓库进行检查；</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（2）禁止携带易燃物及火源进入仓库作业；</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（3）仓库配备一定消防设备，如泡沫灭火器、沙子、防毒面具等。</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当发生突发环境风险事件时，急救应急措施如下：</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（1）及时组织人员对突发环境事件进行控制，并向当地园区管委会报告环境风险事件；</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（2）当环境风险事件超出公司内部处理应急能力范围，及时向当地消防大队请求救援，并配合相关部门开展调查工作；</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（3）当突发环境事件发生时，应组织人员向周边企业及人群发出通告，禁止人群向项目区靠近，做好疏散工作。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6" w:type="dxa"/>
                  <w:gridSpan w:val="6"/>
                </w:tcPr>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填表说明：（列出项目相关信息及评价说明）：</w:t>
                  </w:r>
                </w:p>
                <w:p>
                  <w:pPr>
                    <w:widowControl/>
                    <w:spacing w:line="240" w:lineRule="auto"/>
                    <w:rPr>
                      <w:rFonts w:hint="default" w:ascii="Times New Roman" w:hAnsi="Times New Roman" w:cs="Times New Roman"/>
                      <w:sz w:val="21"/>
                      <w:szCs w:val="24"/>
                    </w:rPr>
                  </w:pPr>
                  <w:r>
                    <w:rPr>
                      <w:rFonts w:hint="default" w:ascii="Times New Roman" w:hAnsi="Times New Roman" w:cs="Times New Roman"/>
                      <w:sz w:val="21"/>
                      <w:szCs w:val="24"/>
                    </w:rPr>
                    <w:t xml:space="preserve">    本项目突发环境风险事件防范及应急措施有效可行，可有效控制环境风险事件及风险事件对周边环境、人群带来的危害。本项目环境风险可接受。</w:t>
                  </w:r>
                </w:p>
              </w:tc>
            </w:tr>
          </w:tbl>
          <w:p>
            <w:pPr>
              <w:widowControl/>
              <w:ind w:firstLine="482" w:firstLineChars="200"/>
              <w:rPr>
                <w:rFonts w:hint="default" w:ascii="Times New Roman" w:hAnsi="Times New Roman" w:cs="Times New Roman"/>
                <w:b/>
              </w:rPr>
            </w:pPr>
            <w:r>
              <w:rPr>
                <w:rFonts w:hint="default" w:ascii="Times New Roman" w:hAnsi="Times New Roman" w:cs="Times New Roman"/>
                <w:b/>
              </w:rPr>
              <w:t>七、项目污染治理措施合理性分析</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（1）大气污染物治理措施</w:t>
            </w:r>
          </w:p>
          <w:p>
            <w:pPr>
              <w:ind w:firstLine="480" w:firstLineChars="200"/>
              <w:rPr>
                <w:rFonts w:hint="default" w:ascii="Times New Roman" w:hAnsi="Times New Roman" w:cs="Times New Roman"/>
              </w:rPr>
            </w:pPr>
            <w:r>
              <w:rPr>
                <w:rFonts w:hint="default" w:ascii="Times New Roman" w:hAnsi="Times New Roman" w:cs="Times New Roman"/>
              </w:rPr>
              <w:t>本项目设置集气罩及光氧催化设备对熔融吹塑废气收集处理，处理后的废气通过15m高排气筒排入外部环境，少量未被收集的非甲烷总烃无组织排放，通过加强车间通风等措施减弱其影响。</w:t>
            </w:r>
          </w:p>
          <w:p>
            <w:pPr>
              <w:ind w:firstLine="480" w:firstLineChars="200"/>
              <w:rPr>
                <w:rFonts w:hint="default" w:ascii="Times New Roman" w:hAnsi="Times New Roman" w:cs="Times New Roman"/>
              </w:rPr>
            </w:pPr>
            <w:r>
              <w:rPr>
                <w:rFonts w:hint="default" w:ascii="Times New Roman" w:hAnsi="Times New Roman" w:cs="Times New Roman"/>
              </w:rPr>
              <w:t>本项目大气污染物防治措施被广泛使用，技术成熟可靠，处理效果较好，设备投资能够被企业所接受，在技术及经济上都是合理的。</w:t>
            </w:r>
          </w:p>
          <w:p>
            <w:pPr>
              <w:ind w:firstLine="480" w:firstLineChars="200"/>
              <w:rPr>
                <w:rFonts w:hint="default" w:ascii="Times New Roman" w:hAnsi="Times New Roman" w:cs="Times New Roman"/>
              </w:rPr>
            </w:pPr>
            <w:r>
              <w:rPr>
                <w:rFonts w:hint="default" w:ascii="Times New Roman" w:hAnsi="Times New Roman" w:cs="Times New Roman"/>
              </w:rPr>
              <w:t>（2）水污染防治措施</w:t>
            </w:r>
          </w:p>
          <w:p>
            <w:pPr>
              <w:ind w:firstLine="480" w:firstLineChars="200"/>
              <w:rPr>
                <w:rFonts w:hint="default" w:ascii="Times New Roman" w:hAnsi="Times New Roman" w:cs="Times New Roman"/>
              </w:rPr>
            </w:pPr>
            <w:r>
              <w:rPr>
                <w:rFonts w:hint="default" w:ascii="Times New Roman" w:hAnsi="Times New Roman" w:cs="Times New Roman"/>
              </w:rPr>
              <w:t>项目产生的废水为员工生活废水，由园区水管网运至当地污水处理厂进行处理，对周边环境影响较小。</w:t>
            </w:r>
          </w:p>
          <w:p>
            <w:pPr>
              <w:ind w:firstLine="480" w:firstLineChars="200"/>
              <w:rPr>
                <w:rFonts w:hint="default" w:ascii="Times New Roman" w:hAnsi="Times New Roman" w:cs="Times New Roman"/>
              </w:rPr>
            </w:pPr>
            <w:r>
              <w:rPr>
                <w:rFonts w:hint="default" w:ascii="Times New Roman" w:hAnsi="Times New Roman" w:cs="Times New Roman"/>
              </w:rPr>
              <w:t>项目废水治理措施简单可行，经济合理。</w:t>
            </w:r>
          </w:p>
          <w:p>
            <w:pPr>
              <w:ind w:firstLine="480" w:firstLineChars="200"/>
              <w:rPr>
                <w:rFonts w:hint="default" w:ascii="Times New Roman" w:hAnsi="Times New Roman" w:cs="Times New Roman"/>
              </w:rPr>
            </w:pPr>
            <w:r>
              <w:rPr>
                <w:rFonts w:hint="default" w:ascii="Times New Roman" w:hAnsi="Times New Roman" w:cs="Times New Roman"/>
              </w:rPr>
              <w:t>（3）声污染防治措施</w:t>
            </w:r>
          </w:p>
          <w:p>
            <w:pPr>
              <w:ind w:firstLine="480" w:firstLineChars="200"/>
              <w:rPr>
                <w:rFonts w:hint="default" w:ascii="Times New Roman" w:hAnsi="Times New Roman" w:cs="Times New Roman"/>
              </w:rPr>
            </w:pPr>
            <w:r>
              <w:rPr>
                <w:rFonts w:hint="default" w:ascii="Times New Roman" w:hAnsi="Times New Roman" w:cs="Times New Roman"/>
              </w:rPr>
              <w:t>本项目噪声主要是生产设备运行产生的机械噪声，噪声源强在70-90dB（A）之间，经采取低噪声设备、设置基础减震、加强设备管理、建筑隔声、加强车辆管理等降噪措施后，厂界噪声可满足《工业企业厂界环境噪声排放标准》（GB12348-2008）中3类区标准要求。</w:t>
            </w:r>
          </w:p>
          <w:p>
            <w:pPr>
              <w:ind w:firstLine="480" w:firstLineChars="200"/>
              <w:rPr>
                <w:rFonts w:hint="default" w:ascii="Times New Roman" w:hAnsi="Times New Roman" w:cs="Times New Roman"/>
              </w:rPr>
            </w:pPr>
            <w:r>
              <w:rPr>
                <w:rFonts w:hint="default" w:ascii="Times New Roman" w:hAnsi="Times New Roman" w:cs="Times New Roman"/>
              </w:rPr>
              <w:t>项目噪声治理措施简单可行，经济合理。</w:t>
            </w:r>
          </w:p>
          <w:p>
            <w:pPr>
              <w:ind w:firstLine="480" w:firstLineChars="200"/>
              <w:rPr>
                <w:rFonts w:hint="default" w:ascii="Times New Roman" w:hAnsi="Times New Roman" w:cs="Times New Roman"/>
              </w:rPr>
            </w:pPr>
            <w:r>
              <w:rPr>
                <w:rFonts w:hint="default" w:ascii="Times New Roman" w:hAnsi="Times New Roman" w:cs="Times New Roman"/>
              </w:rPr>
              <w:t>（4）固体废弃物防治措施</w:t>
            </w:r>
          </w:p>
          <w:p>
            <w:pPr>
              <w:ind w:firstLine="480" w:firstLineChars="200"/>
              <w:rPr>
                <w:rFonts w:hint="default" w:ascii="Times New Roman" w:hAnsi="Times New Roman" w:cs="Times New Roman"/>
              </w:rPr>
            </w:pPr>
            <w:r>
              <w:rPr>
                <w:rFonts w:hint="default" w:ascii="Times New Roman" w:hAnsi="Times New Roman" w:cs="Times New Roman"/>
              </w:rPr>
              <w:t>本项目产生的废气物为边角料</w:t>
            </w:r>
            <w:r>
              <w:rPr>
                <w:rFonts w:hint="eastAsia" w:cs="Times New Roman"/>
                <w:lang w:eastAsia="zh-CN"/>
              </w:rPr>
              <w:t>、</w:t>
            </w:r>
            <w:r>
              <w:rPr>
                <w:rFonts w:hint="default" w:ascii="Times New Roman" w:hAnsi="Times New Roman" w:cs="Times New Roman"/>
              </w:rPr>
              <w:t>员工生活垃圾</w:t>
            </w:r>
            <w:r>
              <w:rPr>
                <w:rFonts w:hint="eastAsia" w:cs="Times New Roman"/>
                <w:lang w:eastAsia="zh-CN"/>
              </w:rPr>
              <w:t>及废弃润滑油</w:t>
            </w:r>
            <w:r>
              <w:rPr>
                <w:rFonts w:hint="default" w:ascii="Times New Roman" w:hAnsi="Times New Roman" w:cs="Times New Roman"/>
              </w:rPr>
              <w:t>。边角料作为生产原料回用于生产，员工身生活垃圾设置垃圾箱收集，定期交由当地环卫部门进行粗合理</w:t>
            </w:r>
            <w:r>
              <w:rPr>
                <w:rFonts w:hint="eastAsia" w:cs="Times New Roman"/>
                <w:lang w:eastAsia="zh-CN"/>
              </w:rPr>
              <w:t>；废弃润滑油委托有相关资质单位处置</w:t>
            </w:r>
            <w:r>
              <w:rPr>
                <w:rFonts w:hint="default" w:ascii="Times New Roman" w:hAnsi="Times New Roman" w:cs="Times New Roman"/>
              </w:rPr>
              <w:t>。</w:t>
            </w:r>
          </w:p>
          <w:p>
            <w:pPr>
              <w:ind w:firstLine="480" w:firstLineChars="200"/>
              <w:rPr>
                <w:rFonts w:hint="default" w:ascii="Times New Roman" w:hAnsi="Times New Roman" w:cs="Times New Roman"/>
              </w:rPr>
            </w:pPr>
            <w:r>
              <w:rPr>
                <w:rFonts w:hint="default" w:ascii="Times New Roman" w:hAnsi="Times New Roman" w:cs="Times New Roman"/>
              </w:rPr>
              <w:t>本项目各项固废均可得到妥善处置，措施简单可行，经济合理。</w:t>
            </w:r>
          </w:p>
          <w:p>
            <w:pPr>
              <w:ind w:firstLine="482" w:firstLineChars="200"/>
              <w:rPr>
                <w:rFonts w:hint="default" w:ascii="Times New Roman" w:hAnsi="Times New Roman" w:cs="Times New Roman"/>
                <w:b/>
              </w:rPr>
            </w:pPr>
            <w:r>
              <w:rPr>
                <w:rFonts w:hint="default" w:ascii="Times New Roman" w:hAnsi="Times New Roman" w:cs="Times New Roman"/>
                <w:b/>
              </w:rPr>
              <w:t>八、环境管理</w:t>
            </w:r>
          </w:p>
          <w:p>
            <w:pPr>
              <w:ind w:firstLine="480" w:firstLineChars="200"/>
              <w:rPr>
                <w:rFonts w:hint="default" w:ascii="Times New Roman" w:hAnsi="Times New Roman" w:cs="Times New Roman"/>
                <w:kern w:val="0"/>
              </w:rPr>
            </w:pPr>
            <w:r>
              <w:rPr>
                <w:rFonts w:hint="default" w:ascii="Times New Roman" w:hAnsi="Times New Roman" w:cs="Times New Roman"/>
                <w:kern w:val="0"/>
              </w:rPr>
              <w:t>企业在生产运营过程中需要制定环境管理计划，开展环境污染治理工作，对生产作业生产的污染物进行监督管理；对环保设备的日常运行进行监督维护，保证环保设备的正常、高效运转；定期组织企业员工开展环境保护培训，定期开展项目环境监测工作，发生环境事故时积极配合当地环保部门调查污染事故。</w:t>
            </w:r>
          </w:p>
          <w:p>
            <w:pPr>
              <w:ind w:firstLine="482" w:firstLineChars="200"/>
              <w:rPr>
                <w:rFonts w:hint="default" w:ascii="Times New Roman" w:hAnsi="Times New Roman" w:cs="Times New Roman"/>
                <w:b/>
              </w:rPr>
            </w:pPr>
            <w:r>
              <w:rPr>
                <w:rFonts w:hint="default" w:ascii="Times New Roman" w:hAnsi="Times New Roman" w:cs="Times New Roman"/>
                <w:b/>
              </w:rPr>
              <w:t>九、环保投资估算</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该项目总投资60万，估算环保投资5万，占总投资的8.3%。具体环保投资情况见表9.1。</w:t>
            </w:r>
          </w:p>
          <w:p>
            <w:pPr>
              <w:spacing w:line="240" w:lineRule="auto"/>
              <w:ind w:firstLine="442"/>
              <w:jc w:val="center"/>
              <w:rPr>
                <w:rFonts w:hint="default" w:ascii="Times New Roman" w:hAnsi="Times New Roman" w:cs="Times New Roman"/>
                <w:b/>
              </w:rPr>
            </w:pPr>
            <w:r>
              <w:rPr>
                <w:rFonts w:hint="default" w:ascii="Times New Roman" w:hAnsi="Times New Roman" w:cs="Times New Roman"/>
                <w:b/>
                <w:sz w:val="21"/>
                <w:szCs w:val="21"/>
              </w:rPr>
              <w:t>表9.1    本项目环保投资估算一览表</w:t>
            </w:r>
          </w:p>
          <w:tbl>
            <w:tblPr>
              <w:tblStyle w:val="1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1396"/>
              <w:gridCol w:w="2598"/>
              <w:gridCol w:w="3832"/>
              <w:gridCol w:w="187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项目</w:t>
                  </w:r>
                </w:p>
              </w:tc>
              <w:tc>
                <w:tcPr>
                  <w:tcW w:w="67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治理污染源</w:t>
                  </w:r>
                </w:p>
              </w:tc>
              <w:tc>
                <w:tcPr>
                  <w:tcW w:w="1247"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治理污染项目</w:t>
                  </w:r>
                </w:p>
              </w:tc>
              <w:tc>
                <w:tcPr>
                  <w:tcW w:w="1839"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治理污染措施</w:t>
                  </w:r>
                </w:p>
              </w:tc>
              <w:tc>
                <w:tcPr>
                  <w:tcW w:w="901"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投资额</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（万元）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67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生产区</w:t>
                  </w:r>
                </w:p>
              </w:tc>
              <w:tc>
                <w:tcPr>
                  <w:tcW w:w="1247"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熔融吹塑废气</w:t>
                  </w:r>
                </w:p>
              </w:tc>
              <w:tc>
                <w:tcPr>
                  <w:tcW w:w="1839"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集尘罩+光氧催化装置+15m高排气筒</w:t>
                  </w:r>
                </w:p>
              </w:tc>
              <w:tc>
                <w:tcPr>
                  <w:tcW w:w="901"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342"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67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生产区</w:t>
                  </w:r>
                </w:p>
              </w:tc>
              <w:tc>
                <w:tcPr>
                  <w:tcW w:w="1247"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生产噪声</w:t>
                  </w:r>
                </w:p>
              </w:tc>
              <w:tc>
                <w:tcPr>
                  <w:tcW w:w="1839"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rPr>
                    <w:t>用低噪声设备、车间内合理布局、加强设备管理、建筑隔声</w:t>
                  </w:r>
                </w:p>
              </w:tc>
              <w:tc>
                <w:tcPr>
                  <w:tcW w:w="901" w:type="pct"/>
                  <w:vAlign w:val="center"/>
                </w:tcPr>
                <w:p>
                  <w:pPr>
                    <w:spacing w:line="240" w:lineRule="auto"/>
                    <w:jc w:val="center"/>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0.</w:t>
                  </w:r>
                  <w:r>
                    <w:rPr>
                      <w:rFonts w:hint="eastAsia" w:cs="Times New Roman"/>
                      <w:sz w:val="21"/>
                      <w:szCs w:val="21"/>
                      <w:lang w:val="en-US" w:eastAsia="zh-CN"/>
                    </w:rPr>
                    <w:t>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42"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67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生活区</w:t>
                  </w:r>
                </w:p>
              </w:tc>
              <w:tc>
                <w:tcPr>
                  <w:tcW w:w="1247" w:type="pct"/>
                  <w:vAlign w:val="center"/>
                </w:tcPr>
                <w:p>
                  <w:pPr>
                    <w:spacing w:line="240" w:lineRule="auto"/>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生活垃圾</w:t>
                  </w:r>
                  <w:r>
                    <w:rPr>
                      <w:rFonts w:hint="eastAsia" w:cs="Times New Roman"/>
                      <w:sz w:val="21"/>
                      <w:szCs w:val="21"/>
                      <w:lang w:eastAsia="zh-CN"/>
                    </w:rPr>
                    <w:t>及废弃润滑油</w:t>
                  </w:r>
                </w:p>
              </w:tc>
              <w:tc>
                <w:tcPr>
                  <w:tcW w:w="1839" w:type="pct"/>
                  <w:vAlign w:val="center"/>
                </w:tcPr>
                <w:p>
                  <w:pPr>
                    <w:spacing w:line="240" w:lineRule="auto"/>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设置垃圾箱</w:t>
                  </w:r>
                  <w:r>
                    <w:rPr>
                      <w:rFonts w:hint="eastAsia" w:cs="Times New Roman"/>
                      <w:sz w:val="21"/>
                      <w:szCs w:val="21"/>
                      <w:lang w:eastAsia="zh-CN"/>
                    </w:rPr>
                    <w:t>及危废专用桶</w:t>
                  </w:r>
                </w:p>
              </w:tc>
              <w:tc>
                <w:tcPr>
                  <w:tcW w:w="901" w:type="pct"/>
                  <w:vAlign w:val="center"/>
                </w:tcPr>
                <w:p>
                  <w:pPr>
                    <w:spacing w:line="240" w:lineRule="auto"/>
                    <w:jc w:val="center"/>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0.</w:t>
                  </w:r>
                  <w:r>
                    <w:rPr>
                      <w:rFonts w:hint="eastAsia" w:cs="Times New Roman"/>
                      <w:sz w:val="21"/>
                      <w:szCs w:val="21"/>
                      <w:lang w:val="en-US" w:eastAsia="zh-CN"/>
                    </w:rPr>
                    <w:t>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098" w:type="pct"/>
                  <w:gridSpan w:val="4"/>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总计</w:t>
                  </w:r>
                </w:p>
              </w:tc>
              <w:tc>
                <w:tcPr>
                  <w:tcW w:w="901"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5</w:t>
                  </w:r>
                </w:p>
              </w:tc>
            </w:tr>
          </w:tbl>
          <w:p>
            <w:pPr>
              <w:ind w:firstLine="482" w:firstLineChars="200"/>
              <w:rPr>
                <w:rFonts w:hint="default" w:ascii="Times New Roman" w:hAnsi="Times New Roman" w:cs="Times New Roman"/>
                <w:b/>
              </w:rPr>
            </w:pPr>
            <w:r>
              <w:rPr>
                <w:rFonts w:hint="default" w:ascii="Times New Roman" w:hAnsi="Times New Roman" w:cs="Times New Roman"/>
                <w:b/>
              </w:rPr>
              <w:t>十、项目环保验收</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根据《中华人民共和国环境保护法》规定，项目建成后，应该检查工厂周围环境改变及环保设施“三同时”情况，由环保管理部门、环保监理部门、设计单位、施工单位与建设方共同参与竣工验收。项目环保设施“三同时”竣工验收内容见表10.1。</w:t>
            </w:r>
          </w:p>
          <w:p>
            <w:pPr>
              <w:spacing w:line="240" w:lineRule="auto"/>
              <w:ind w:firstLine="1054" w:firstLineChars="500"/>
              <w:jc w:val="center"/>
              <w:rPr>
                <w:rFonts w:hint="default" w:ascii="Times New Roman" w:hAnsi="Times New Roman" w:cs="Times New Roman"/>
                <w:b/>
                <w:sz w:val="21"/>
                <w:szCs w:val="21"/>
              </w:rPr>
            </w:pPr>
            <w:r>
              <w:rPr>
                <w:rFonts w:hint="default" w:ascii="Times New Roman" w:hAnsi="Times New Roman" w:cs="Times New Roman"/>
                <w:b/>
                <w:sz w:val="21"/>
                <w:szCs w:val="21"/>
              </w:rPr>
              <w:t xml:space="preserve">表10.1   </w:t>
            </w:r>
            <w:r>
              <w:rPr>
                <w:rFonts w:hint="eastAsia" w:cs="Times New Roman"/>
                <w:b/>
                <w:sz w:val="21"/>
                <w:szCs w:val="21"/>
                <w:lang w:val="en-US" w:eastAsia="zh-CN"/>
              </w:rPr>
              <w:t xml:space="preserve"> </w:t>
            </w:r>
            <w:r>
              <w:rPr>
                <w:rFonts w:hint="default" w:ascii="Times New Roman" w:hAnsi="Times New Roman" w:cs="Times New Roman"/>
                <w:b/>
                <w:sz w:val="21"/>
                <w:szCs w:val="21"/>
              </w:rPr>
              <w:t>本项目“三同时”验收一览表</w:t>
            </w:r>
          </w:p>
          <w:tbl>
            <w:tblPr>
              <w:tblStyle w:val="15"/>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571"/>
              <w:gridCol w:w="1840"/>
              <w:gridCol w:w="2897"/>
              <w:gridCol w:w="343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序号</w:t>
                  </w:r>
                </w:p>
              </w:tc>
              <w:tc>
                <w:tcPr>
                  <w:tcW w:w="75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治理项目</w:t>
                  </w:r>
                </w:p>
              </w:tc>
              <w:tc>
                <w:tcPr>
                  <w:tcW w:w="883"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分项治理</w:t>
                  </w:r>
                </w:p>
              </w:tc>
              <w:tc>
                <w:tcPr>
                  <w:tcW w:w="139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主要环保设备</w:t>
                  </w:r>
                </w:p>
              </w:tc>
              <w:tc>
                <w:tcPr>
                  <w:tcW w:w="1647"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验收依据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75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废气治理</w:t>
                  </w:r>
                </w:p>
              </w:tc>
              <w:tc>
                <w:tcPr>
                  <w:tcW w:w="883"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熔融吹塑废气</w:t>
                  </w:r>
                </w:p>
              </w:tc>
              <w:tc>
                <w:tcPr>
                  <w:tcW w:w="139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集尘罩+光氧催化设备</w:t>
                  </w:r>
                </w:p>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+15m高排气筒</w:t>
                  </w:r>
                </w:p>
              </w:tc>
              <w:tc>
                <w:tcPr>
                  <w:tcW w:w="1647"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有组织熔融吹塑废气排放浓度满足</w:t>
                  </w:r>
                  <w:r>
                    <w:rPr>
                      <w:rFonts w:hint="eastAsia" w:cs="Times New Roman"/>
                      <w:sz w:val="21"/>
                      <w:szCs w:val="21"/>
                      <w:lang w:eastAsia="zh-CN"/>
                    </w:rPr>
                    <w:t>《</w:t>
                  </w:r>
                  <w:r>
                    <w:rPr>
                      <w:rFonts w:hint="default" w:ascii="Times New Roman" w:hAnsi="Times New Roman" w:cs="Times New Roman"/>
                      <w:sz w:val="21"/>
                      <w:szCs w:val="21"/>
                    </w:rPr>
                    <w:t>合成树脂工业污染物排放标准》（GB31572-2015）表4中非甲烷总烃排放限值</w:t>
                  </w:r>
                  <w:r>
                    <w:rPr>
                      <w:rFonts w:hint="eastAsia" w:ascii="Times New Roman" w:hAnsi="Times New Roman" w:cs="Times New Roman"/>
                      <w:sz w:val="21"/>
                      <w:szCs w:val="21"/>
                      <w:lang w:eastAsia="zh-CN"/>
                    </w:rPr>
                    <w:t>；</w:t>
                  </w:r>
                  <w:r>
                    <w:rPr>
                      <w:rFonts w:hint="default" w:ascii="Times New Roman" w:hAnsi="Times New Roman" w:cs="Times New Roman"/>
                      <w:sz w:val="21"/>
                      <w:szCs w:val="21"/>
                    </w:rPr>
                    <w:t>厂界无组织熔融吹塑废气浓度满足</w:t>
                  </w:r>
                  <w:r>
                    <w:rPr>
                      <w:rFonts w:hint="eastAsia" w:ascii="Times New Roman" w:hAnsi="Times New Roman" w:cs="Times New Roman"/>
                      <w:sz w:val="21"/>
                      <w:szCs w:val="21"/>
                      <w:lang w:val="en-US" w:eastAsia="zh-CN"/>
                    </w:rPr>
                    <w:t>《挥发性有机物无组织排放控制标准》（GB37822-2019）表A.1厂区内VOCs无组织排放限值中特别排放限值</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75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噪声治理</w:t>
                  </w:r>
                </w:p>
              </w:tc>
              <w:tc>
                <w:tcPr>
                  <w:tcW w:w="883"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生产噪声</w:t>
                  </w:r>
                </w:p>
              </w:tc>
              <w:tc>
                <w:tcPr>
                  <w:tcW w:w="139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rPr>
                    <w:t>用低噪声设备、车间内合理布局、加强设备管理、建筑隔声</w:t>
                  </w:r>
                </w:p>
              </w:tc>
              <w:tc>
                <w:tcPr>
                  <w:tcW w:w="1647" w:type="pct"/>
                  <w:vAlign w:val="center"/>
                </w:tcPr>
                <w:p>
                  <w:pPr>
                    <w:wordWrap w:val="0"/>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《工业企业厂界环境噪声排放标准》(GB12348-2008）3类区标准</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32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754"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固废治理</w:t>
                  </w:r>
                </w:p>
              </w:tc>
              <w:tc>
                <w:tcPr>
                  <w:tcW w:w="883"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生活垃圾</w:t>
                  </w:r>
                  <w:r>
                    <w:rPr>
                      <w:rFonts w:hint="eastAsia" w:cs="Times New Roman"/>
                      <w:sz w:val="21"/>
                      <w:szCs w:val="21"/>
                      <w:lang w:eastAsia="zh-CN"/>
                    </w:rPr>
                    <w:t>及废弃润滑油</w:t>
                  </w:r>
                </w:p>
              </w:tc>
              <w:tc>
                <w:tcPr>
                  <w:tcW w:w="1390"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设置垃圾箱</w:t>
                  </w:r>
                  <w:r>
                    <w:rPr>
                      <w:rFonts w:hint="eastAsia" w:cs="Times New Roman"/>
                      <w:sz w:val="21"/>
                      <w:szCs w:val="21"/>
                      <w:lang w:eastAsia="zh-CN"/>
                    </w:rPr>
                    <w:t>及危废专用桶</w:t>
                  </w:r>
                </w:p>
              </w:tc>
              <w:tc>
                <w:tcPr>
                  <w:tcW w:w="1647" w:type="pct"/>
                  <w:vAlign w:val="center"/>
                </w:tcPr>
                <w:p>
                  <w:pPr>
                    <w:spacing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统一收集，定期交由当地环卫部门处理</w:t>
                  </w:r>
                </w:p>
              </w:tc>
            </w:tr>
          </w:tbl>
          <w:p>
            <w:pPr>
              <w:widowControl/>
              <w:ind w:firstLine="482" w:firstLineChars="200"/>
              <w:rPr>
                <w:rFonts w:hint="default" w:ascii="Times New Roman" w:hAnsi="Times New Roman" w:cs="Times New Roman"/>
                <w:b/>
              </w:rPr>
            </w:pPr>
            <w:r>
              <w:rPr>
                <w:rFonts w:hint="default" w:ascii="Times New Roman" w:hAnsi="Times New Roman" w:cs="Times New Roman"/>
                <w:b/>
              </w:rPr>
              <w:t>11.环境监测计划</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本项目运营期间建设单位应当记录日耗电量、日耗水量、日废水产排量、日固废产排量等日常数据。</w:t>
            </w:r>
          </w:p>
          <w:p>
            <w:pPr>
              <w:widowControl/>
              <w:ind w:firstLine="480" w:firstLineChars="200"/>
              <w:rPr>
                <w:rFonts w:hint="default" w:ascii="Times New Roman" w:hAnsi="Times New Roman" w:cs="Times New Roman"/>
                <w:kern w:val="0"/>
              </w:rPr>
            </w:pPr>
            <w:r>
              <w:rPr>
                <w:rFonts w:hint="default" w:ascii="Times New Roman" w:hAnsi="Times New Roman" w:cs="Times New Roman"/>
                <w:kern w:val="0"/>
              </w:rPr>
              <w:t>建设单位可不设专职环境监测机构，环境监测工作可委当地环境监测站承担，要求与对方签定协议，明确监测类别、监测点位、监测项目、监测方式及频率等。本项目运营期间污染源环境监测计划见表11.1。</w:t>
            </w:r>
          </w:p>
          <w:p>
            <w:pPr>
              <w:autoSpaceDE w:val="0"/>
              <w:autoSpaceDN w:val="0"/>
              <w:adjustRightInd w:val="0"/>
              <w:spacing w:line="240" w:lineRule="auto"/>
              <w:ind w:firstLine="442"/>
              <w:jc w:val="center"/>
              <w:rPr>
                <w:rFonts w:hint="default" w:ascii="Times New Roman" w:hAnsi="Times New Roman" w:cs="Times New Roman"/>
                <w:b/>
                <w:sz w:val="21"/>
                <w:szCs w:val="21"/>
              </w:rPr>
            </w:pPr>
            <w:r>
              <w:rPr>
                <w:rFonts w:hint="default" w:ascii="Times New Roman" w:hAnsi="Times New Roman" w:cs="Times New Roman"/>
                <w:b/>
                <w:sz w:val="21"/>
                <w:szCs w:val="21"/>
              </w:rPr>
              <w:t>表11.1    污染源环境监测计划一览表</w:t>
            </w:r>
          </w:p>
          <w:tbl>
            <w:tblPr>
              <w:tblStyle w:val="15"/>
              <w:tblW w:w="5000"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2592"/>
              <w:gridCol w:w="1273"/>
              <w:gridCol w:w="2104"/>
              <w:gridCol w:w="1756"/>
              <w:gridCol w:w="1421"/>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610"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项目</w:t>
                  </w:r>
                </w:p>
              </w:tc>
              <w:tc>
                <w:tcPr>
                  <w:tcW w:w="1244"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监测对象</w:t>
                  </w:r>
                </w:p>
              </w:tc>
              <w:tc>
                <w:tcPr>
                  <w:tcW w:w="611"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采样点</w:t>
                  </w:r>
                </w:p>
              </w:tc>
              <w:tc>
                <w:tcPr>
                  <w:tcW w:w="1010"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监测项目</w:t>
                  </w:r>
                </w:p>
              </w:tc>
              <w:tc>
                <w:tcPr>
                  <w:tcW w:w="843"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监测位置</w:t>
                  </w:r>
                </w:p>
              </w:tc>
              <w:tc>
                <w:tcPr>
                  <w:tcW w:w="682"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监测频率</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10" w:type="pct"/>
                  <w:vMerge w:val="restart"/>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废气</w:t>
                  </w:r>
                </w:p>
              </w:tc>
              <w:tc>
                <w:tcPr>
                  <w:tcW w:w="1244" w:type="pct"/>
                </w:tcPr>
                <w:p>
                  <w:pPr>
                    <w:autoSpaceDE w:val="0"/>
                    <w:autoSpaceDN w:val="0"/>
                    <w:adjustRightInd w:val="0"/>
                    <w:spacing w:line="240" w:lineRule="auto"/>
                    <w:rPr>
                      <w:rFonts w:hint="default" w:ascii="Times New Roman" w:hAnsi="Times New Roman" w:cs="Times New Roman"/>
                      <w:kern w:val="0"/>
                      <w:sz w:val="21"/>
                      <w:szCs w:val="21"/>
                    </w:rPr>
                  </w:pPr>
                  <w:r>
                    <w:rPr>
                      <w:rFonts w:hint="default" w:ascii="Times New Roman" w:hAnsi="Times New Roman" w:cs="Times New Roman"/>
                      <w:kern w:val="0"/>
                      <w:sz w:val="21"/>
                      <w:szCs w:val="21"/>
                    </w:rPr>
                    <w:t>无组织熔融吹塑废气排放</w:t>
                  </w:r>
                </w:p>
              </w:tc>
              <w:tc>
                <w:tcPr>
                  <w:tcW w:w="611"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厂界</w:t>
                  </w:r>
                </w:p>
              </w:tc>
              <w:tc>
                <w:tcPr>
                  <w:tcW w:w="1010"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非甲烷总烃</w:t>
                  </w:r>
                </w:p>
              </w:tc>
              <w:tc>
                <w:tcPr>
                  <w:tcW w:w="843"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厂界</w:t>
                  </w:r>
                </w:p>
              </w:tc>
              <w:tc>
                <w:tcPr>
                  <w:tcW w:w="682" w:type="pct"/>
                  <w:vMerge w:val="restart"/>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1次/半年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10" w:type="pct"/>
                  <w:vMerge w:val="continue"/>
                </w:tcPr>
                <w:p>
                  <w:pPr>
                    <w:autoSpaceDE w:val="0"/>
                    <w:autoSpaceDN w:val="0"/>
                    <w:adjustRightInd w:val="0"/>
                    <w:spacing w:line="240" w:lineRule="auto"/>
                    <w:rPr>
                      <w:rFonts w:hint="default" w:ascii="Times New Roman" w:hAnsi="Times New Roman" w:cs="Times New Roman"/>
                      <w:kern w:val="0"/>
                      <w:sz w:val="21"/>
                      <w:szCs w:val="21"/>
                    </w:rPr>
                  </w:pPr>
                </w:p>
              </w:tc>
              <w:tc>
                <w:tcPr>
                  <w:tcW w:w="1244"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有组织熔融吹塑废气排放</w:t>
                  </w:r>
                </w:p>
              </w:tc>
              <w:tc>
                <w:tcPr>
                  <w:tcW w:w="611"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排气筒出口</w:t>
                  </w:r>
                </w:p>
              </w:tc>
              <w:tc>
                <w:tcPr>
                  <w:tcW w:w="1010"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非甲烷总烃</w:t>
                  </w:r>
                </w:p>
              </w:tc>
              <w:tc>
                <w:tcPr>
                  <w:tcW w:w="843"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排气筒出口</w:t>
                  </w:r>
                </w:p>
              </w:tc>
              <w:tc>
                <w:tcPr>
                  <w:tcW w:w="682" w:type="pct"/>
                  <w:vMerge w:val="continue"/>
                </w:tcPr>
                <w:p>
                  <w:pPr>
                    <w:autoSpaceDE w:val="0"/>
                    <w:autoSpaceDN w:val="0"/>
                    <w:adjustRightInd w:val="0"/>
                    <w:spacing w:line="240" w:lineRule="auto"/>
                    <w:rPr>
                      <w:rFonts w:hint="default" w:ascii="Times New Roman" w:hAnsi="Times New Roman" w:cs="Times New Roman"/>
                      <w:kern w:val="0"/>
                      <w:sz w:val="21"/>
                      <w:szCs w:val="21"/>
                    </w:rP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610"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噪声</w:t>
                  </w:r>
                </w:p>
              </w:tc>
              <w:tc>
                <w:tcPr>
                  <w:tcW w:w="1244"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噪声</w:t>
                  </w:r>
                </w:p>
              </w:tc>
              <w:tc>
                <w:tcPr>
                  <w:tcW w:w="611"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厂界</w:t>
                  </w:r>
                </w:p>
              </w:tc>
              <w:tc>
                <w:tcPr>
                  <w:tcW w:w="1010"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连续等效A声级</w:t>
                  </w:r>
                </w:p>
              </w:tc>
              <w:tc>
                <w:tcPr>
                  <w:tcW w:w="843"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厂界外1m</w:t>
                  </w:r>
                </w:p>
              </w:tc>
              <w:tc>
                <w:tcPr>
                  <w:tcW w:w="682" w:type="pct"/>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1次/半年</w:t>
                  </w:r>
                </w:p>
              </w:tc>
            </w:tr>
          </w:tbl>
          <w:p>
            <w:pPr>
              <w:ind w:firstLine="480" w:firstLineChars="200"/>
              <w:rPr>
                <w:color w:val="000000"/>
              </w:rPr>
            </w:pPr>
          </w:p>
          <w:p>
            <w:pPr>
              <w:ind w:firstLine="480" w:firstLineChars="200"/>
              <w:rPr>
                <w:color w:val="000000"/>
              </w:rPr>
            </w:pPr>
          </w:p>
          <w:p>
            <w:pPr>
              <w:ind w:firstLine="480" w:firstLineChars="200"/>
              <w:rPr>
                <w:color w:val="000000"/>
              </w:rPr>
            </w:pPr>
          </w:p>
          <w:p>
            <w:pPr>
              <w:ind w:firstLine="480" w:firstLineChars="200"/>
              <w:rPr>
                <w:color w:val="000000"/>
              </w:rPr>
            </w:pPr>
          </w:p>
          <w:p>
            <w:pPr>
              <w:ind w:firstLine="480" w:firstLineChars="200"/>
              <w:rPr>
                <w:color w:val="000000"/>
              </w:rPr>
            </w:pPr>
          </w:p>
          <w:p>
            <w:pPr>
              <w:autoSpaceDE w:val="0"/>
              <w:autoSpaceDN w:val="0"/>
              <w:adjustRightInd w:val="0"/>
              <w:spacing w:line="240" w:lineRule="auto"/>
              <w:ind w:firstLine="442"/>
              <w:jc w:val="center"/>
              <w:rPr>
                <w:rFonts w:hint="eastAsia" w:cs="Times New Roman"/>
                <w:b/>
                <w:sz w:val="21"/>
                <w:szCs w:val="21"/>
                <w:lang w:eastAsia="zh-CN"/>
              </w:rPr>
            </w:pPr>
          </w:p>
          <w:p>
            <w:pPr>
              <w:autoSpaceDE w:val="0"/>
              <w:autoSpaceDN w:val="0"/>
              <w:adjustRightInd w:val="0"/>
              <w:spacing w:line="240" w:lineRule="auto"/>
              <w:ind w:firstLine="442"/>
              <w:jc w:val="center"/>
              <w:rPr>
                <w:rFonts w:hint="eastAsia" w:cs="Times New Roman"/>
                <w:b/>
                <w:sz w:val="21"/>
                <w:szCs w:val="21"/>
                <w:lang w:eastAsia="zh-CN"/>
              </w:rPr>
            </w:pPr>
          </w:p>
          <w:p>
            <w:pPr>
              <w:widowControl/>
              <w:ind w:firstLine="482" w:firstLineChars="200"/>
              <w:rPr>
                <w:rFonts w:hint="default" w:ascii="Times New Roman" w:hAnsi="Times New Roman" w:cs="Times New Roman"/>
                <w:b/>
              </w:rPr>
            </w:pPr>
            <w:r>
              <w:rPr>
                <w:rFonts w:hint="eastAsia" w:ascii="Times New Roman" w:hAnsi="Times New Roman" w:cs="Times New Roman"/>
                <w:b/>
                <w:lang w:val="en-US" w:eastAsia="zh-CN"/>
              </w:rPr>
              <w:t>12.</w:t>
            </w:r>
            <w:r>
              <w:rPr>
                <w:rFonts w:hint="default" w:ascii="Times New Roman" w:hAnsi="Times New Roman" w:cs="Times New Roman"/>
                <w:b/>
              </w:rPr>
              <w:t>污染物排放统计及环保措施、标准</w:t>
            </w:r>
          </w:p>
          <w:p>
            <w:pPr>
              <w:autoSpaceDE w:val="0"/>
              <w:autoSpaceDN w:val="0"/>
              <w:adjustRightInd w:val="0"/>
              <w:spacing w:line="240" w:lineRule="auto"/>
              <w:ind w:firstLine="442"/>
              <w:jc w:val="center"/>
              <w:rPr>
                <w:rFonts w:hint="default" w:ascii="Times New Roman" w:hAnsi="Times New Roman" w:cs="Times New Roman"/>
                <w:b/>
                <w:sz w:val="21"/>
                <w:szCs w:val="21"/>
              </w:rPr>
            </w:pPr>
            <w:r>
              <w:rPr>
                <w:rFonts w:hint="eastAsia" w:cs="Times New Roman"/>
                <w:b/>
                <w:sz w:val="21"/>
                <w:szCs w:val="21"/>
                <w:lang w:eastAsia="zh-CN"/>
              </w:rPr>
              <w:t>表</w:t>
            </w:r>
            <w:r>
              <w:rPr>
                <w:rFonts w:hint="eastAsia" w:cs="Times New Roman"/>
                <w:b/>
                <w:sz w:val="21"/>
                <w:szCs w:val="21"/>
                <w:lang w:val="en-US" w:eastAsia="zh-CN"/>
              </w:rPr>
              <w:t xml:space="preserve">12-1    </w:t>
            </w:r>
            <w:r>
              <w:rPr>
                <w:rFonts w:hint="default" w:ascii="Times New Roman" w:hAnsi="Times New Roman" w:cs="Times New Roman"/>
                <w:b/>
                <w:sz w:val="21"/>
                <w:szCs w:val="21"/>
              </w:rPr>
              <w:t>本项目污染物排放清单及环保措施、</w:t>
            </w:r>
            <w:r>
              <w:rPr>
                <w:rFonts w:hint="eastAsia" w:ascii="Times New Roman" w:hAnsi="Times New Roman" w:cs="Times New Roman"/>
                <w:b/>
                <w:sz w:val="21"/>
                <w:szCs w:val="21"/>
                <w:lang w:eastAsia="zh-CN"/>
              </w:rPr>
              <w:t>执行</w:t>
            </w:r>
            <w:r>
              <w:rPr>
                <w:rFonts w:hint="default" w:ascii="Times New Roman" w:hAnsi="Times New Roman" w:cs="Times New Roman"/>
                <w:b/>
                <w:sz w:val="21"/>
                <w:szCs w:val="21"/>
              </w:rPr>
              <w:t>标准</w:t>
            </w:r>
            <w:r>
              <w:rPr>
                <w:rFonts w:hint="eastAsia" w:ascii="Times New Roman" w:hAnsi="Times New Roman" w:cs="Times New Roman"/>
                <w:b/>
                <w:sz w:val="21"/>
                <w:szCs w:val="21"/>
              </w:rPr>
              <w:t>。</w:t>
            </w:r>
          </w:p>
          <w:tbl>
            <w:tblPr>
              <w:tblStyle w:val="14"/>
              <w:tblW w:w="45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06"/>
              <w:gridCol w:w="1171"/>
              <w:gridCol w:w="1165"/>
              <w:gridCol w:w="2641"/>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jc w:val="center"/>
              </w:trPr>
              <w:tc>
                <w:tcPr>
                  <w:tcW w:w="42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污染源</w:t>
                  </w: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污染物</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产生量</w:t>
                  </w:r>
                </w:p>
              </w:tc>
              <w:tc>
                <w:tcPr>
                  <w:tcW w:w="614"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排放量</w:t>
                  </w:r>
                </w:p>
              </w:tc>
              <w:tc>
                <w:tcPr>
                  <w:tcW w:w="1392"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防治措施</w:t>
                  </w:r>
                </w:p>
              </w:tc>
              <w:tc>
                <w:tcPr>
                  <w:tcW w:w="125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exact"/>
                <w:jc w:val="center"/>
              </w:trPr>
              <w:tc>
                <w:tcPr>
                  <w:tcW w:w="427"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rPr>
                    <w:t>大气污染物</w:t>
                  </w: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非甲烷总烃有组织排放</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val="en-US" w:eastAsia="zh-CN"/>
                    </w:rPr>
                  </w:pPr>
                </w:p>
                <w:p>
                  <w:pPr>
                    <w:autoSpaceDE w:val="0"/>
                    <w:autoSpaceDN w:val="0"/>
                    <w:adjustRightInd w:val="0"/>
                    <w:spacing w:line="240" w:lineRule="auto"/>
                    <w:jc w:val="center"/>
                    <w:rPr>
                      <w:rFonts w:hint="eastAsia" w:ascii="Times New Roman" w:hAnsi="Times New Roman" w:cs="Times New Roman"/>
                      <w:kern w:val="0"/>
                      <w:sz w:val="21"/>
                      <w:szCs w:val="21"/>
                      <w:lang w:val="en-US" w:eastAsia="zh-CN"/>
                    </w:rPr>
                  </w:pPr>
                </w:p>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0.108</w:t>
                  </w:r>
                  <w:r>
                    <w:rPr>
                      <w:rFonts w:hint="eastAsia" w:ascii="Times New Roman" w:hAnsi="Times New Roman" w:cs="Times New Roman"/>
                      <w:kern w:val="0"/>
                      <w:sz w:val="21"/>
                      <w:szCs w:val="21"/>
                    </w:rPr>
                    <w:t>t/a</w:t>
                  </w:r>
                </w:p>
                <w:p>
                  <w:pPr>
                    <w:autoSpaceDE w:val="0"/>
                    <w:autoSpaceDN w:val="0"/>
                    <w:adjustRightInd w:val="0"/>
                    <w:spacing w:line="240" w:lineRule="auto"/>
                    <w:jc w:val="center"/>
                    <w:rPr>
                      <w:rFonts w:hint="eastAsia" w:ascii="Times New Roman" w:hAnsi="Times New Roman" w:cs="Times New Roman"/>
                      <w:kern w:val="0"/>
                      <w:sz w:val="21"/>
                      <w:szCs w:val="21"/>
                    </w:rPr>
                  </w:pPr>
                </w:p>
                <w:p>
                  <w:pPr>
                    <w:autoSpaceDE w:val="0"/>
                    <w:autoSpaceDN w:val="0"/>
                    <w:adjustRightInd w:val="0"/>
                    <w:spacing w:line="240" w:lineRule="auto"/>
                    <w:jc w:val="center"/>
                    <w:rPr>
                      <w:rFonts w:hint="eastAsia" w:ascii="Times New Roman" w:hAnsi="Times New Roman" w:cs="Times New Roman"/>
                      <w:kern w:val="0"/>
                      <w:sz w:val="21"/>
                      <w:szCs w:val="21"/>
                    </w:rPr>
                  </w:pPr>
                </w:p>
              </w:tc>
              <w:tc>
                <w:tcPr>
                  <w:tcW w:w="614"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0.0648</w:t>
                  </w:r>
                  <w:r>
                    <w:rPr>
                      <w:rFonts w:hint="eastAsia" w:ascii="Times New Roman" w:hAnsi="Times New Roman" w:cs="Times New Roman"/>
                      <w:kern w:val="0"/>
                      <w:sz w:val="21"/>
                      <w:szCs w:val="21"/>
                    </w:rPr>
                    <w:t>t/a</w:t>
                  </w:r>
                </w:p>
              </w:tc>
              <w:tc>
                <w:tcPr>
                  <w:tcW w:w="1392"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default" w:ascii="Times New Roman" w:hAnsi="Times New Roman" w:cs="Times New Roman"/>
                      <w:kern w:val="0"/>
                      <w:sz w:val="21"/>
                      <w:szCs w:val="21"/>
                    </w:rPr>
                    <w:t>集尘罩+光氧催化设备+15m高排气筒</w:t>
                  </w:r>
                </w:p>
              </w:tc>
              <w:tc>
                <w:tcPr>
                  <w:tcW w:w="1258"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default" w:ascii="Times New Roman" w:hAnsi="Times New Roman" w:cs="Times New Roman"/>
                      <w:kern w:val="0"/>
                      <w:sz w:val="21"/>
                      <w:szCs w:val="21"/>
                    </w:rPr>
                    <w:t>有组织熔融吹塑废气排放浓度满足</w:t>
                  </w:r>
                  <w:r>
                    <w:rPr>
                      <w:rFonts w:hint="eastAsia" w:ascii="Times New Roman" w:hAnsi="Times New Roman" w:cs="Times New Roman"/>
                      <w:kern w:val="0"/>
                      <w:sz w:val="21"/>
                      <w:szCs w:val="21"/>
                      <w:lang w:eastAsia="zh-CN"/>
                    </w:rPr>
                    <w:t>《</w:t>
                  </w:r>
                  <w:r>
                    <w:rPr>
                      <w:rFonts w:hint="default" w:ascii="Times New Roman" w:hAnsi="Times New Roman" w:cs="Times New Roman"/>
                      <w:kern w:val="0"/>
                      <w:sz w:val="21"/>
                      <w:szCs w:val="21"/>
                    </w:rPr>
                    <w:t>合成树脂工业污染物排放标准》（GB31572-2015）表4中非甲烷总烃排放限值</w:t>
                  </w:r>
                  <w:r>
                    <w:rPr>
                      <w:rFonts w:hint="eastAsia" w:ascii="Times New Roman" w:hAnsi="Times New Roman" w:cs="Times New Roman"/>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exact"/>
                <w:jc w:val="center"/>
              </w:trPr>
              <w:tc>
                <w:tcPr>
                  <w:tcW w:w="427"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非甲烷总烃无组织排放</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0.012</w:t>
                  </w:r>
                  <w:r>
                    <w:rPr>
                      <w:rFonts w:hint="eastAsia" w:ascii="Times New Roman" w:hAnsi="Times New Roman" w:cs="Times New Roman"/>
                      <w:kern w:val="0"/>
                      <w:sz w:val="21"/>
                      <w:szCs w:val="21"/>
                    </w:rPr>
                    <w:t>t/a</w:t>
                  </w:r>
                </w:p>
              </w:tc>
              <w:tc>
                <w:tcPr>
                  <w:tcW w:w="614"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0.012</w:t>
                  </w:r>
                  <w:r>
                    <w:rPr>
                      <w:rFonts w:hint="eastAsia" w:ascii="Times New Roman" w:hAnsi="Times New Roman" w:cs="Times New Roman"/>
                      <w:kern w:val="0"/>
                      <w:sz w:val="21"/>
                      <w:szCs w:val="21"/>
                    </w:rPr>
                    <w:t>t/a</w:t>
                  </w:r>
                </w:p>
              </w:tc>
              <w:tc>
                <w:tcPr>
                  <w:tcW w:w="1392"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大气稀释扩散</w:t>
                  </w:r>
                </w:p>
              </w:tc>
              <w:tc>
                <w:tcPr>
                  <w:tcW w:w="1258"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default" w:ascii="Times New Roman" w:hAnsi="Times New Roman" w:cs="Times New Roman"/>
                      <w:kern w:val="0"/>
                      <w:sz w:val="21"/>
                      <w:szCs w:val="21"/>
                    </w:rPr>
                    <w:t>厂界无组织熔融吹塑废气浓度满足《</w:t>
                  </w:r>
                  <w:r>
                    <w:rPr>
                      <w:rFonts w:hint="eastAsia" w:ascii="Times New Roman" w:hAnsi="Times New Roman" w:cs="Times New Roman"/>
                      <w:kern w:val="0"/>
                      <w:sz w:val="21"/>
                      <w:szCs w:val="21"/>
                      <w:lang w:eastAsia="zh-CN"/>
                    </w:rPr>
                    <w:t>挥发性有机物无组织排放控制</w:t>
                  </w:r>
                  <w:r>
                    <w:rPr>
                      <w:rFonts w:hint="default" w:ascii="Times New Roman" w:hAnsi="Times New Roman" w:cs="Times New Roman"/>
                      <w:kern w:val="0"/>
                      <w:sz w:val="21"/>
                      <w:szCs w:val="21"/>
                    </w:rPr>
                    <w:t>标准》（GB3</w:t>
                  </w:r>
                  <w:r>
                    <w:rPr>
                      <w:rFonts w:hint="eastAsia" w:ascii="Times New Roman" w:hAnsi="Times New Roman" w:cs="Times New Roman"/>
                      <w:kern w:val="0"/>
                      <w:sz w:val="21"/>
                      <w:szCs w:val="21"/>
                      <w:lang w:val="en-US" w:eastAsia="zh-CN"/>
                    </w:rPr>
                    <w:t>7822</w:t>
                  </w:r>
                  <w:r>
                    <w:rPr>
                      <w:rFonts w:hint="default" w:ascii="Times New Roman" w:hAnsi="Times New Roman" w:cs="Times New Roman"/>
                      <w:kern w:val="0"/>
                      <w:sz w:val="21"/>
                      <w:szCs w:val="21"/>
                    </w:rPr>
                    <w:t>-201</w:t>
                  </w:r>
                  <w:r>
                    <w:rPr>
                      <w:rFonts w:hint="eastAsia" w:ascii="Times New Roman" w:hAnsi="Times New Roman" w:cs="Times New Roman"/>
                      <w:kern w:val="0"/>
                      <w:sz w:val="21"/>
                      <w:szCs w:val="21"/>
                      <w:lang w:val="en-US" w:eastAsia="zh-CN"/>
                    </w:rPr>
                    <w:t>9</w:t>
                  </w:r>
                  <w:r>
                    <w:rPr>
                      <w:rFonts w:hint="default" w:ascii="Times New Roman" w:hAnsi="Times New Roman" w:cs="Times New Roman"/>
                      <w:kern w:val="0"/>
                      <w:sz w:val="21"/>
                      <w:szCs w:val="21"/>
                    </w:rPr>
                    <w:t>）表</w:t>
                  </w:r>
                  <w:r>
                    <w:rPr>
                      <w:rFonts w:hint="eastAsia" w:ascii="Times New Roman" w:hAnsi="Times New Roman" w:cs="Times New Roman"/>
                      <w:kern w:val="0"/>
                      <w:sz w:val="21"/>
                      <w:szCs w:val="21"/>
                      <w:lang w:val="en-US" w:eastAsia="zh-CN"/>
                    </w:rPr>
                    <w:t>A.1厂区内VOCs无组织排放限制中的特别排放限值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exact"/>
                <w:jc w:val="center"/>
              </w:trPr>
              <w:tc>
                <w:tcPr>
                  <w:tcW w:w="427"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cs="Times New Roman"/>
                      <w:kern w:val="0"/>
                      <w:sz w:val="21"/>
                      <w:szCs w:val="21"/>
                      <w:lang w:eastAsia="zh-CN"/>
                    </w:rPr>
                    <w:t>破碎粉尘</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val="en-US" w:eastAsia="zh-CN"/>
                    </w:rPr>
                  </w:pPr>
                  <w:r>
                    <w:rPr>
                      <w:rFonts w:hint="eastAsia" w:cs="Times New Roman"/>
                      <w:kern w:val="0"/>
                      <w:sz w:val="21"/>
                      <w:szCs w:val="21"/>
                      <w:lang w:val="en-US" w:eastAsia="zh-CN"/>
                    </w:rPr>
                    <w:t>少量</w:t>
                  </w:r>
                </w:p>
              </w:tc>
              <w:tc>
                <w:tcPr>
                  <w:tcW w:w="614"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val="en-US" w:eastAsia="zh-CN"/>
                    </w:rPr>
                  </w:pPr>
                  <w:r>
                    <w:rPr>
                      <w:rFonts w:hint="eastAsia" w:cs="Times New Roman"/>
                      <w:kern w:val="0"/>
                      <w:sz w:val="21"/>
                      <w:szCs w:val="21"/>
                      <w:lang w:val="en-US" w:eastAsia="zh-CN"/>
                    </w:rPr>
                    <w:t>少量</w:t>
                  </w:r>
                </w:p>
              </w:tc>
              <w:tc>
                <w:tcPr>
                  <w:tcW w:w="1392"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cs="Times New Roman"/>
                      <w:kern w:val="0"/>
                      <w:sz w:val="21"/>
                      <w:szCs w:val="21"/>
                      <w:lang w:eastAsia="zh-CN"/>
                    </w:rPr>
                    <w:t>破碎机密闭</w:t>
                  </w:r>
                </w:p>
              </w:tc>
              <w:tc>
                <w:tcPr>
                  <w:tcW w:w="1258"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eastAsia" w:ascii="Times New Roman" w:hAnsi="Times New Roman" w:cs="Times New Roman"/>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exact"/>
                <w:jc w:val="center"/>
              </w:trPr>
              <w:tc>
                <w:tcPr>
                  <w:tcW w:w="427"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水污染物</w:t>
                  </w: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rPr>
                    <w:t>生活</w:t>
                  </w:r>
                  <w:r>
                    <w:rPr>
                      <w:rFonts w:hint="eastAsia" w:ascii="Times New Roman" w:hAnsi="Times New Roman" w:cs="Times New Roman"/>
                      <w:kern w:val="0"/>
                      <w:sz w:val="21"/>
                      <w:szCs w:val="21"/>
                      <w:lang w:eastAsia="zh-CN"/>
                    </w:rPr>
                    <w:t>废</w:t>
                  </w:r>
                  <w:r>
                    <w:rPr>
                      <w:rFonts w:hint="eastAsia" w:ascii="Times New Roman" w:hAnsi="Times New Roman" w:cs="Times New Roman"/>
                      <w:kern w:val="0"/>
                      <w:sz w:val="21"/>
                      <w:szCs w:val="21"/>
                    </w:rPr>
                    <w:t>水</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233.6</w:t>
                  </w:r>
                </w:p>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t</w:t>
                  </w:r>
                  <w:r>
                    <w:rPr>
                      <w:rFonts w:hint="eastAsia" w:ascii="Times New Roman" w:hAnsi="Times New Roman" w:cs="Times New Roman"/>
                      <w:kern w:val="0"/>
                      <w:sz w:val="21"/>
                      <w:szCs w:val="21"/>
                    </w:rPr>
                    <w:t>/a</w:t>
                  </w:r>
                </w:p>
              </w:tc>
              <w:tc>
                <w:tcPr>
                  <w:tcW w:w="614"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233.6</w:t>
                  </w:r>
                </w:p>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t</w:t>
                  </w:r>
                  <w:r>
                    <w:rPr>
                      <w:rFonts w:hint="eastAsia" w:ascii="Times New Roman" w:hAnsi="Times New Roman" w:cs="Times New Roman"/>
                      <w:kern w:val="0"/>
                      <w:sz w:val="21"/>
                      <w:szCs w:val="21"/>
                    </w:rPr>
                    <w:t>/a</w:t>
                  </w:r>
                </w:p>
              </w:tc>
              <w:tc>
                <w:tcPr>
                  <w:tcW w:w="1392"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default" w:ascii="Times New Roman" w:hAnsi="Times New Roman" w:cs="Times New Roman"/>
                      <w:kern w:val="0"/>
                      <w:sz w:val="21"/>
                      <w:szCs w:val="21"/>
                    </w:rPr>
                    <w:t>依托厂区内已建的污水管网排入产业集中区污水管网，最终经昌吉市第二污水厂统一处理</w:t>
                  </w:r>
                </w:p>
              </w:tc>
              <w:tc>
                <w:tcPr>
                  <w:tcW w:w="1258"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《污水综合排放标准》（GB8978-1996）中三级标准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27" w:type="pct"/>
                  <w:vMerge w:val="restart"/>
                  <w:tcBorders>
                    <w:left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固体废物</w:t>
                  </w: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rPr>
                    <w:t>生活垃圾</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2.92</w:t>
                  </w:r>
                  <w:r>
                    <w:rPr>
                      <w:rFonts w:hint="eastAsia" w:ascii="Times New Roman" w:hAnsi="Times New Roman" w:cs="Times New Roman"/>
                      <w:kern w:val="0"/>
                      <w:sz w:val="21"/>
                      <w:szCs w:val="21"/>
                    </w:rPr>
                    <w:t>t/a</w:t>
                  </w:r>
                </w:p>
              </w:tc>
              <w:tc>
                <w:tcPr>
                  <w:tcW w:w="614"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2.92</w:t>
                  </w:r>
                  <w:r>
                    <w:rPr>
                      <w:rFonts w:hint="eastAsia" w:ascii="Times New Roman" w:hAnsi="Times New Roman" w:cs="Times New Roman"/>
                      <w:kern w:val="0"/>
                      <w:sz w:val="21"/>
                      <w:szCs w:val="21"/>
                    </w:rPr>
                    <w:t>t/a</w:t>
                  </w:r>
                </w:p>
              </w:tc>
              <w:tc>
                <w:tcPr>
                  <w:tcW w:w="1392"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设置垃圾箱统一收集，定期交由当地环卫部门处理</w:t>
                  </w:r>
                </w:p>
              </w:tc>
              <w:tc>
                <w:tcPr>
                  <w:tcW w:w="1258"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27" w:type="pct"/>
                  <w:vMerge w:val="continue"/>
                  <w:tcBorders>
                    <w:left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边角料</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2.4</w:t>
                  </w:r>
                </w:p>
              </w:tc>
              <w:tc>
                <w:tcPr>
                  <w:tcW w:w="614"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w:t>
                  </w:r>
                </w:p>
              </w:tc>
              <w:tc>
                <w:tcPr>
                  <w:tcW w:w="1392"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作为生产原料回用于生产</w:t>
                  </w:r>
                </w:p>
              </w:tc>
              <w:tc>
                <w:tcPr>
                  <w:tcW w:w="1258" w:type="pct"/>
                  <w:tcBorders>
                    <w:top w:val="single" w:color="auto" w:sz="4" w:space="0"/>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27" w:type="pct"/>
                  <w:vMerge w:val="continue"/>
                  <w:tcBorders>
                    <w:left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废润滑油</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0.01</w:t>
                  </w:r>
                </w:p>
              </w:tc>
              <w:tc>
                <w:tcPr>
                  <w:tcW w:w="614"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w:t>
                  </w:r>
                </w:p>
              </w:tc>
              <w:tc>
                <w:tcPr>
                  <w:tcW w:w="1392"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lang w:eastAsia="zh-CN"/>
                    </w:rPr>
                  </w:pPr>
                  <w:r>
                    <w:rPr>
                      <w:rFonts w:hint="eastAsia" w:ascii="Times New Roman" w:hAnsi="Times New Roman" w:cs="Times New Roman"/>
                      <w:kern w:val="0"/>
                      <w:sz w:val="21"/>
                      <w:szCs w:val="21"/>
                      <w:lang w:eastAsia="zh-CN"/>
                    </w:rPr>
                    <w:t>委托有相关资质单位处置</w:t>
                  </w:r>
                </w:p>
              </w:tc>
              <w:tc>
                <w:tcPr>
                  <w:tcW w:w="1258" w:type="pct"/>
                  <w:tcBorders>
                    <w:left w:val="single" w:color="auto" w:sz="4" w:space="0"/>
                    <w:right w:val="single" w:color="auto" w:sz="4" w:space="0"/>
                  </w:tcBorders>
                  <w:noWrap w:val="0"/>
                  <w:vAlign w:val="center"/>
                </w:tcPr>
                <w:p>
                  <w:pPr>
                    <w:autoSpaceDE w:val="0"/>
                    <w:autoSpaceDN w:val="0"/>
                    <w:adjustRightInd w:val="0"/>
                    <w:spacing w:line="240" w:lineRule="auto"/>
                    <w:jc w:val="center"/>
                    <w:rPr>
                      <w:rFonts w:hint="eastAsia" w:ascii="Times New Roman" w:hAnsi="Times New Roman" w:cs="Times New Roman"/>
                      <w:kern w:val="0"/>
                      <w:sz w:val="21"/>
                      <w:szCs w:val="21"/>
                    </w:rPr>
                  </w:pPr>
                  <w:r>
                    <w:rPr>
                      <w:rFonts w:hint="eastAsia" w:ascii="Times New Roman" w:hAnsi="Times New Roman" w:cs="Times New Roman"/>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42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噪声</w:t>
                  </w:r>
                </w:p>
              </w:tc>
              <w:tc>
                <w:tcPr>
                  <w:tcW w:w="68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等效A声级</w:t>
                  </w:r>
                </w:p>
              </w:tc>
              <w:tc>
                <w:tcPr>
                  <w:tcW w:w="617"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eastAsia" w:ascii="Times New Roman" w:hAnsi="Times New Roman" w:cs="Times New Roman"/>
                      <w:kern w:val="0"/>
                      <w:sz w:val="21"/>
                      <w:szCs w:val="21"/>
                      <w:lang w:val="en-US" w:eastAsia="zh-CN"/>
                    </w:rPr>
                    <w:t>70-</w:t>
                  </w:r>
                  <w:r>
                    <w:rPr>
                      <w:rFonts w:hint="eastAsia" w:ascii="Times New Roman" w:hAnsi="Times New Roman" w:cs="Times New Roman"/>
                      <w:kern w:val="0"/>
                      <w:sz w:val="21"/>
                      <w:szCs w:val="21"/>
                    </w:rPr>
                    <w:t>90</w:t>
                  </w:r>
                  <w:r>
                    <w:rPr>
                      <w:rFonts w:hint="default" w:ascii="Times New Roman" w:hAnsi="Times New Roman" w:cs="Times New Roman"/>
                      <w:kern w:val="0"/>
                      <w:sz w:val="21"/>
                      <w:szCs w:val="21"/>
                    </w:rPr>
                    <w:t>dB（A）</w:t>
                  </w:r>
                </w:p>
              </w:tc>
              <w:tc>
                <w:tcPr>
                  <w:tcW w:w="614"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昼间</w:t>
                  </w:r>
                  <w:r>
                    <w:rPr>
                      <w:rFonts w:hint="eastAsia" w:ascii="Times New Roman" w:hAnsi="Times New Roman" w:cs="Times New Roman"/>
                      <w:kern w:val="0"/>
                      <w:sz w:val="21"/>
                      <w:szCs w:val="21"/>
                    </w:rPr>
                    <w:t>6</w:t>
                  </w:r>
                  <w:r>
                    <w:rPr>
                      <w:rFonts w:hint="eastAsia" w:ascii="Times New Roman" w:hAnsi="Times New Roman" w:cs="Times New Roman"/>
                      <w:kern w:val="0"/>
                      <w:sz w:val="21"/>
                      <w:szCs w:val="21"/>
                      <w:lang w:val="en-US" w:eastAsia="zh-CN"/>
                    </w:rPr>
                    <w:t>5</w:t>
                  </w:r>
                  <w:r>
                    <w:rPr>
                      <w:rFonts w:hint="default" w:ascii="Times New Roman" w:hAnsi="Times New Roman" w:cs="Times New Roman"/>
                      <w:kern w:val="0"/>
                      <w:sz w:val="21"/>
                      <w:szCs w:val="21"/>
                    </w:rPr>
                    <w:t>dB（A）</w:t>
                  </w:r>
                </w:p>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夜间</w:t>
                  </w:r>
                  <w:r>
                    <w:rPr>
                      <w:rFonts w:hint="eastAsia" w:ascii="Times New Roman" w:hAnsi="Times New Roman" w:cs="Times New Roman"/>
                      <w:kern w:val="0"/>
                      <w:sz w:val="21"/>
                      <w:szCs w:val="21"/>
                    </w:rPr>
                    <w:t>5</w:t>
                  </w:r>
                  <w:r>
                    <w:rPr>
                      <w:rFonts w:hint="eastAsia" w:ascii="Times New Roman" w:hAnsi="Times New Roman" w:cs="Times New Roman"/>
                      <w:kern w:val="0"/>
                      <w:sz w:val="21"/>
                      <w:szCs w:val="21"/>
                      <w:lang w:val="en-US" w:eastAsia="zh-CN"/>
                    </w:rPr>
                    <w:t>5</w:t>
                  </w:r>
                  <w:r>
                    <w:rPr>
                      <w:rFonts w:hint="default" w:ascii="Times New Roman" w:hAnsi="Times New Roman" w:cs="Times New Roman"/>
                      <w:kern w:val="0"/>
                      <w:sz w:val="21"/>
                      <w:szCs w:val="21"/>
                    </w:rPr>
                    <w:t>dB（A）</w:t>
                  </w:r>
                </w:p>
              </w:tc>
              <w:tc>
                <w:tcPr>
                  <w:tcW w:w="1392"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用低噪声设备、车间内合理布局、加强设备管理、建筑隔声</w:t>
                  </w:r>
                </w:p>
              </w:tc>
              <w:tc>
                <w:tcPr>
                  <w:tcW w:w="1258" w:type="pc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center"/>
                    <w:rPr>
                      <w:rFonts w:hint="default" w:ascii="Times New Roman" w:hAnsi="Times New Roman" w:cs="Times New Roman"/>
                      <w:kern w:val="0"/>
                      <w:sz w:val="21"/>
                      <w:szCs w:val="21"/>
                    </w:rPr>
                  </w:pPr>
                  <w:r>
                    <w:rPr>
                      <w:rFonts w:hint="default" w:ascii="Times New Roman" w:hAnsi="Times New Roman" w:cs="Times New Roman"/>
                      <w:kern w:val="0"/>
                      <w:sz w:val="21"/>
                      <w:szCs w:val="21"/>
                    </w:rPr>
                    <w:t>《工业企业厂界环境噪声排放标》（GB12348-2008）中</w:t>
                  </w:r>
                  <w:r>
                    <w:rPr>
                      <w:rFonts w:hint="eastAsia" w:ascii="Times New Roman" w:hAnsi="Times New Roman" w:cs="Times New Roman"/>
                      <w:kern w:val="0"/>
                      <w:sz w:val="21"/>
                      <w:szCs w:val="21"/>
                      <w:lang w:val="en-US" w:eastAsia="zh-CN"/>
                    </w:rPr>
                    <w:t>3</w:t>
                  </w:r>
                  <w:r>
                    <w:rPr>
                      <w:rFonts w:hint="default" w:ascii="Times New Roman" w:hAnsi="Times New Roman" w:cs="Times New Roman"/>
                      <w:kern w:val="0"/>
                      <w:sz w:val="21"/>
                      <w:szCs w:val="21"/>
                    </w:rPr>
                    <w:t>类标准限值</w:t>
                  </w:r>
                </w:p>
              </w:tc>
            </w:tr>
          </w:tbl>
          <w:p>
            <w:pPr>
              <w:rPr>
                <w:rFonts w:hint="default" w:ascii="Times New Roman" w:hAnsi="Times New Roman" w:cs="Times New Roman"/>
              </w:rPr>
            </w:pPr>
          </w:p>
        </w:tc>
      </w:tr>
    </w:tbl>
    <w:p>
      <w:pPr>
        <w:spacing w:before="120" w:beforeLines="50" w:line="240" w:lineRule="auto"/>
        <w:rPr>
          <w:rFonts w:hint="default" w:ascii="Times New Roman" w:hAnsi="Times New Roman" w:cs="Times New Roman"/>
          <w:b/>
          <w:sz w:val="32"/>
          <w:szCs w:val="32"/>
        </w:rPr>
      </w:pPr>
      <w:r>
        <w:rPr>
          <w:rFonts w:hint="default" w:ascii="Times New Roman" w:hAnsi="Times New Roman" w:cs="Times New Roman"/>
          <w:b/>
          <w:sz w:val="32"/>
          <w:szCs w:val="32"/>
        </w:rPr>
        <w:t>建设项目拟采取的防治措施及预期治理效果</w:t>
      </w:r>
    </w:p>
    <w:tbl>
      <w:tblPr>
        <w:tblStyle w:val="15"/>
        <w:tblW w:w="5994" w:type="pct"/>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5"/>
        <w:gridCol w:w="1455"/>
        <w:gridCol w:w="1304"/>
        <w:gridCol w:w="2278"/>
        <w:gridCol w:w="3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095" w:type="pct"/>
            <w:tcBorders>
              <w:bottom w:val="single" w:color="auto" w:sz="4" w:space="0"/>
              <w:tl2br w:val="single" w:color="auto" w:sz="4" w:space="0"/>
            </w:tcBorders>
          </w:tcPr>
          <w:p>
            <w:pPr>
              <w:spacing w:line="240" w:lineRule="auto"/>
              <w:jc w:val="center"/>
              <w:rPr>
                <w:rFonts w:hint="default" w:ascii="Times New Roman" w:hAnsi="Times New Roman" w:cs="Times New Roman"/>
              </w:rPr>
            </w:pPr>
            <w:r>
              <w:rPr>
                <w:rFonts w:hint="default" w:ascii="Times New Roman" w:hAnsi="Times New Roman" w:cs="Times New Roman"/>
              </w:rPr>
              <w:t xml:space="preserve">       内容</w:t>
            </w:r>
          </w:p>
          <w:p>
            <w:pPr>
              <w:spacing w:line="240" w:lineRule="auto"/>
              <w:rPr>
                <w:rFonts w:hint="default" w:ascii="Times New Roman" w:hAnsi="Times New Roman" w:cs="Times New Roman"/>
              </w:rPr>
            </w:pPr>
            <w:r>
              <w:rPr>
                <w:rFonts w:hint="default" w:ascii="Times New Roman" w:hAnsi="Times New Roman" w:cs="Times New Roman"/>
              </w:rPr>
              <w:t xml:space="preserve"> 类型</w:t>
            </w:r>
          </w:p>
        </w:tc>
        <w:tc>
          <w:tcPr>
            <w:tcW w:w="685"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排放源</w:t>
            </w:r>
          </w:p>
          <w:p>
            <w:pPr>
              <w:spacing w:line="240" w:lineRule="auto"/>
              <w:jc w:val="center"/>
              <w:rPr>
                <w:rFonts w:hint="default" w:ascii="Times New Roman" w:hAnsi="Times New Roman" w:cs="Times New Roman"/>
              </w:rPr>
            </w:pPr>
            <w:r>
              <w:rPr>
                <w:rFonts w:hint="default" w:ascii="Times New Roman" w:hAnsi="Times New Roman" w:cs="Times New Roman"/>
              </w:rPr>
              <w:t>（编号）</w:t>
            </w:r>
          </w:p>
        </w:tc>
        <w:tc>
          <w:tcPr>
            <w:tcW w:w="614"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污染物</w:t>
            </w:r>
          </w:p>
          <w:p>
            <w:pPr>
              <w:spacing w:line="240" w:lineRule="auto"/>
              <w:jc w:val="center"/>
              <w:rPr>
                <w:rFonts w:hint="default" w:ascii="Times New Roman" w:hAnsi="Times New Roman" w:cs="Times New Roman"/>
              </w:rPr>
            </w:pPr>
            <w:r>
              <w:rPr>
                <w:rFonts w:hint="default" w:ascii="Times New Roman" w:hAnsi="Times New Roman" w:cs="Times New Roman"/>
              </w:rPr>
              <w:t>名称</w:t>
            </w:r>
          </w:p>
        </w:tc>
        <w:tc>
          <w:tcPr>
            <w:tcW w:w="1073" w:type="pct"/>
            <w:vAlign w:val="center"/>
          </w:tcPr>
          <w:p>
            <w:pPr>
              <w:spacing w:line="240" w:lineRule="auto"/>
              <w:ind w:firstLine="240" w:firstLineChars="100"/>
              <w:rPr>
                <w:rFonts w:hint="default" w:ascii="Times New Roman" w:hAnsi="Times New Roman" w:cs="Times New Roman"/>
              </w:rPr>
            </w:pPr>
            <w:r>
              <w:rPr>
                <w:rFonts w:hint="default" w:ascii="Times New Roman" w:hAnsi="Times New Roman" w:cs="Times New Roman"/>
              </w:rPr>
              <w:t>防治措施</w:t>
            </w:r>
          </w:p>
        </w:tc>
        <w:tc>
          <w:tcPr>
            <w:tcW w:w="1530"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预期治理效果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1095" w:type="pct"/>
            <w:tcBorders>
              <w:tl2br w:val="nil"/>
            </w:tcBorders>
            <w:vAlign w:val="center"/>
          </w:tcPr>
          <w:p>
            <w:pPr>
              <w:jc w:val="center"/>
              <w:rPr>
                <w:rFonts w:hint="default" w:ascii="Times New Roman" w:hAnsi="Times New Roman" w:cs="Times New Roman"/>
              </w:rPr>
            </w:pPr>
            <w:r>
              <w:rPr>
                <w:rFonts w:hint="default" w:ascii="Times New Roman" w:hAnsi="Times New Roman" w:cs="Times New Roman"/>
              </w:rPr>
              <w:t>大气污染物</w:t>
            </w:r>
          </w:p>
        </w:tc>
        <w:tc>
          <w:tcPr>
            <w:tcW w:w="685"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注塑机、吹塑机</w:t>
            </w:r>
          </w:p>
        </w:tc>
        <w:tc>
          <w:tcPr>
            <w:tcW w:w="614" w:type="pct"/>
            <w:vAlign w:val="center"/>
          </w:tcPr>
          <w:p>
            <w:pPr>
              <w:spacing w:line="240" w:lineRule="auto"/>
              <w:jc w:val="center"/>
              <w:rPr>
                <w:rFonts w:hint="default" w:ascii="Times New Roman" w:hAnsi="Times New Roman" w:cs="Times New Roman"/>
                <w:vertAlign w:val="subscript"/>
              </w:rPr>
            </w:pPr>
            <w:r>
              <w:rPr>
                <w:rFonts w:hint="default" w:ascii="Times New Roman" w:hAnsi="Times New Roman" w:cs="Times New Roman"/>
              </w:rPr>
              <w:t>熔融吹塑废气</w:t>
            </w:r>
          </w:p>
        </w:tc>
        <w:tc>
          <w:tcPr>
            <w:tcW w:w="1073"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集尘罩+光氧催化设备+15m高排气筒</w:t>
            </w:r>
          </w:p>
        </w:tc>
        <w:tc>
          <w:tcPr>
            <w:tcW w:w="1530" w:type="pct"/>
            <w:vAlign w:val="center"/>
          </w:tcPr>
          <w:p>
            <w:pPr>
              <w:wordWrap w:val="0"/>
              <w:spacing w:line="240" w:lineRule="auto"/>
              <w:jc w:val="center"/>
              <w:rPr>
                <w:rFonts w:hint="default" w:ascii="Times New Roman" w:hAnsi="Times New Roman" w:cs="Times New Roman"/>
                <w:lang w:val="en-US"/>
              </w:rPr>
            </w:pPr>
            <w:r>
              <w:rPr>
                <w:rFonts w:hint="default" w:ascii="Times New Roman" w:hAnsi="Times New Roman" w:cs="Times New Roman"/>
                <w:sz w:val="24"/>
                <w:szCs w:val="24"/>
              </w:rPr>
              <w:t>有组织熔融吹塑废气排放浓度满足</w:t>
            </w:r>
            <w:r>
              <w:rPr>
                <w:rFonts w:hint="eastAsia" w:cs="Times New Roman"/>
                <w:sz w:val="24"/>
                <w:szCs w:val="24"/>
                <w:lang w:eastAsia="zh-CN"/>
              </w:rPr>
              <w:t>《</w:t>
            </w:r>
            <w:r>
              <w:rPr>
                <w:rFonts w:hint="default" w:ascii="Times New Roman" w:hAnsi="Times New Roman" w:cs="Times New Roman"/>
                <w:sz w:val="24"/>
                <w:szCs w:val="24"/>
              </w:rPr>
              <w:t>合成树脂工业污染物排放标准》（GB31572-2015）表4中</w:t>
            </w:r>
            <w:r>
              <w:rPr>
                <w:rFonts w:hint="default" w:ascii="Times New Roman" w:hAnsi="Times New Roman" w:cs="Times New Roman"/>
                <w:sz w:val="24"/>
                <w:szCs w:val="24"/>
                <w:highlight w:val="none"/>
              </w:rPr>
              <w:t>非甲烷总烃</w:t>
            </w:r>
            <w:r>
              <w:rPr>
                <w:rFonts w:hint="default" w:ascii="Times New Roman" w:hAnsi="Times New Roman" w:cs="Times New Roman"/>
                <w:sz w:val="24"/>
                <w:szCs w:val="24"/>
              </w:rPr>
              <w:t>排放限值</w:t>
            </w:r>
            <w:r>
              <w:rPr>
                <w:rFonts w:hint="eastAsia" w:cs="Times New Roman"/>
                <w:sz w:val="24"/>
                <w:szCs w:val="24"/>
                <w:lang w:eastAsia="zh-CN"/>
              </w:rPr>
              <w:t>；</w:t>
            </w:r>
            <w:r>
              <w:rPr>
                <w:rFonts w:hint="default" w:ascii="Times New Roman" w:hAnsi="Times New Roman" w:cs="Times New Roman"/>
                <w:sz w:val="24"/>
                <w:szCs w:val="24"/>
              </w:rPr>
              <w:t>厂界无组织熔融吹塑废气浓度满足《</w:t>
            </w:r>
            <w:r>
              <w:rPr>
                <w:rFonts w:hint="eastAsia" w:cs="Times New Roman"/>
                <w:sz w:val="24"/>
                <w:szCs w:val="24"/>
                <w:lang w:eastAsia="zh-CN"/>
              </w:rPr>
              <w:t>挥发性有机物无组织排放控制</w:t>
            </w:r>
            <w:r>
              <w:rPr>
                <w:rFonts w:hint="default" w:ascii="Times New Roman" w:hAnsi="Times New Roman" w:cs="Times New Roman"/>
                <w:sz w:val="24"/>
                <w:szCs w:val="24"/>
              </w:rPr>
              <w:t>标准》（GB3</w:t>
            </w:r>
            <w:r>
              <w:rPr>
                <w:rFonts w:hint="eastAsia" w:cs="Times New Roman"/>
                <w:sz w:val="24"/>
                <w:szCs w:val="24"/>
                <w:lang w:val="en-US" w:eastAsia="zh-CN"/>
              </w:rPr>
              <w:t>7822</w:t>
            </w:r>
            <w:r>
              <w:rPr>
                <w:rFonts w:hint="default" w:ascii="Times New Roman" w:hAnsi="Times New Roman" w:cs="Times New Roman"/>
                <w:sz w:val="24"/>
                <w:szCs w:val="24"/>
              </w:rPr>
              <w:t>-201</w:t>
            </w:r>
            <w:r>
              <w:rPr>
                <w:rFonts w:hint="eastAsia" w:cs="Times New Roman"/>
                <w:sz w:val="24"/>
                <w:szCs w:val="24"/>
                <w:lang w:val="en-US" w:eastAsia="zh-CN"/>
              </w:rPr>
              <w:t>9</w:t>
            </w:r>
            <w:r>
              <w:rPr>
                <w:rFonts w:hint="default" w:ascii="Times New Roman" w:hAnsi="Times New Roman" w:cs="Times New Roman"/>
                <w:sz w:val="24"/>
                <w:szCs w:val="24"/>
              </w:rPr>
              <w:t>）表</w:t>
            </w:r>
            <w:r>
              <w:rPr>
                <w:rFonts w:hint="eastAsia" w:cs="Times New Roman"/>
                <w:sz w:val="24"/>
                <w:szCs w:val="24"/>
                <w:lang w:val="en-US" w:eastAsia="zh-CN"/>
              </w:rPr>
              <w:t>A.1厂区内VOCs无组织排放限制中的特别排放限值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 w:hRule="atLeast"/>
        </w:trPr>
        <w:tc>
          <w:tcPr>
            <w:tcW w:w="1095" w:type="pct"/>
            <w:tcBorders>
              <w:tl2br w:val="nil"/>
            </w:tcBorders>
            <w:vAlign w:val="center"/>
          </w:tcPr>
          <w:p>
            <w:pPr>
              <w:jc w:val="center"/>
              <w:rPr>
                <w:rFonts w:hint="default" w:ascii="Times New Roman" w:hAnsi="Times New Roman" w:cs="Times New Roman"/>
              </w:rPr>
            </w:pPr>
            <w:r>
              <w:rPr>
                <w:rFonts w:hint="default" w:ascii="Times New Roman" w:hAnsi="Times New Roman" w:cs="Times New Roman"/>
              </w:rPr>
              <w:t>水污染物</w:t>
            </w:r>
          </w:p>
        </w:tc>
        <w:tc>
          <w:tcPr>
            <w:tcW w:w="685" w:type="pct"/>
            <w:vAlign w:val="center"/>
          </w:tcPr>
          <w:p>
            <w:pPr>
              <w:jc w:val="center"/>
              <w:rPr>
                <w:rFonts w:hint="default" w:ascii="Times New Roman" w:hAnsi="Times New Roman" w:cs="Times New Roman"/>
              </w:rPr>
            </w:pPr>
            <w:r>
              <w:rPr>
                <w:rFonts w:hint="default" w:ascii="Times New Roman" w:hAnsi="Times New Roman" w:cs="Times New Roman"/>
              </w:rPr>
              <w:t>生活废水</w:t>
            </w:r>
          </w:p>
        </w:tc>
        <w:tc>
          <w:tcPr>
            <w:tcW w:w="614"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生活废水</w:t>
            </w:r>
          </w:p>
        </w:tc>
        <w:tc>
          <w:tcPr>
            <w:tcW w:w="1073"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生活废水由园区污水管网送至当地污水处理厂处理</w:t>
            </w:r>
          </w:p>
        </w:tc>
        <w:tc>
          <w:tcPr>
            <w:tcW w:w="1530"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095" w:type="pct"/>
            <w:vMerge w:val="restart"/>
            <w:tcBorders>
              <w:tl2br w:val="nil"/>
            </w:tcBorders>
            <w:vAlign w:val="center"/>
          </w:tcPr>
          <w:p>
            <w:pPr>
              <w:jc w:val="center"/>
              <w:rPr>
                <w:rFonts w:hint="default" w:ascii="Times New Roman" w:hAnsi="Times New Roman" w:cs="Times New Roman"/>
              </w:rPr>
            </w:pPr>
            <w:r>
              <w:rPr>
                <w:rFonts w:hint="default" w:ascii="Times New Roman" w:hAnsi="Times New Roman" w:cs="Times New Roman"/>
              </w:rPr>
              <w:t>固体废弃物</w:t>
            </w:r>
          </w:p>
        </w:tc>
        <w:tc>
          <w:tcPr>
            <w:tcW w:w="685" w:type="pct"/>
            <w:vAlign w:val="center"/>
          </w:tcPr>
          <w:p>
            <w:pPr>
              <w:jc w:val="center"/>
              <w:rPr>
                <w:rFonts w:hint="default" w:ascii="Times New Roman" w:hAnsi="Times New Roman" w:cs="Times New Roman"/>
              </w:rPr>
            </w:pPr>
            <w:r>
              <w:rPr>
                <w:rFonts w:hint="default" w:ascii="Times New Roman" w:hAnsi="Times New Roman" w:cs="Times New Roman"/>
              </w:rPr>
              <w:t>生产区</w:t>
            </w:r>
          </w:p>
        </w:tc>
        <w:tc>
          <w:tcPr>
            <w:tcW w:w="614"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边角料</w:t>
            </w:r>
          </w:p>
        </w:tc>
        <w:tc>
          <w:tcPr>
            <w:tcW w:w="1073"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作为生产原料回用于生产</w:t>
            </w:r>
          </w:p>
        </w:tc>
        <w:tc>
          <w:tcPr>
            <w:tcW w:w="1530" w:type="pct"/>
            <w:vMerge w:val="restart"/>
            <w:vAlign w:val="center"/>
          </w:tcPr>
          <w:p>
            <w:pPr>
              <w:jc w:val="center"/>
              <w:rPr>
                <w:rFonts w:hint="default" w:ascii="Times New Roman" w:hAnsi="Times New Roman" w:cs="Times New Roman"/>
              </w:rPr>
            </w:pPr>
            <w:r>
              <w:rPr>
                <w:rFonts w:hint="default" w:ascii="Times New Roman" w:hAnsi="Times New Roman" w:cs="Times New Roman"/>
              </w:rPr>
              <w:t>固体废弃物做到100％处置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95" w:type="pct"/>
            <w:vMerge w:val="continue"/>
            <w:tcBorders>
              <w:tl2br w:val="nil"/>
            </w:tcBorders>
          </w:tcPr>
          <w:p>
            <w:pPr>
              <w:jc w:val="center"/>
              <w:rPr>
                <w:rFonts w:hint="default" w:ascii="Times New Roman" w:hAnsi="Times New Roman" w:cs="Times New Roman"/>
              </w:rPr>
            </w:pPr>
          </w:p>
        </w:tc>
        <w:tc>
          <w:tcPr>
            <w:tcW w:w="685" w:type="pct"/>
            <w:vAlign w:val="center"/>
          </w:tcPr>
          <w:p>
            <w:pPr>
              <w:jc w:val="center"/>
              <w:rPr>
                <w:rFonts w:hint="default" w:ascii="Times New Roman" w:hAnsi="Times New Roman" w:cs="Times New Roman"/>
              </w:rPr>
            </w:pPr>
            <w:r>
              <w:rPr>
                <w:rFonts w:hint="default" w:ascii="Times New Roman" w:hAnsi="Times New Roman" w:cs="Times New Roman"/>
              </w:rPr>
              <w:t>办公生活</w:t>
            </w:r>
          </w:p>
        </w:tc>
        <w:tc>
          <w:tcPr>
            <w:tcW w:w="614"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生活垃圾</w:t>
            </w:r>
          </w:p>
        </w:tc>
        <w:tc>
          <w:tcPr>
            <w:tcW w:w="1073" w:type="pct"/>
            <w:vAlign w:val="center"/>
          </w:tcPr>
          <w:p>
            <w:pPr>
              <w:spacing w:line="240" w:lineRule="auto"/>
              <w:jc w:val="center"/>
              <w:rPr>
                <w:rFonts w:hint="default" w:ascii="Times New Roman" w:hAnsi="Times New Roman" w:cs="Times New Roman"/>
              </w:rPr>
            </w:pPr>
            <w:r>
              <w:rPr>
                <w:rFonts w:hint="default" w:ascii="Times New Roman" w:hAnsi="Times New Roman" w:cs="Times New Roman"/>
              </w:rPr>
              <w:t>设置垃圾箱统一收集，定期交由环卫部门处理</w:t>
            </w:r>
          </w:p>
        </w:tc>
        <w:tc>
          <w:tcPr>
            <w:tcW w:w="1530" w:type="pct"/>
            <w:vMerge w:val="continue"/>
            <w:vAlign w:val="center"/>
          </w:tcPr>
          <w:p>
            <w:pPr>
              <w:wordWrap w:val="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95" w:type="pct"/>
            <w:vMerge w:val="continue"/>
            <w:tcBorders>
              <w:tl2br w:val="nil"/>
            </w:tcBorders>
          </w:tcPr>
          <w:p>
            <w:pPr>
              <w:jc w:val="center"/>
              <w:rPr>
                <w:rFonts w:hint="default" w:ascii="Times New Roman" w:hAnsi="Times New Roman" w:cs="Times New Roman"/>
              </w:rPr>
            </w:pPr>
          </w:p>
        </w:tc>
        <w:tc>
          <w:tcPr>
            <w:tcW w:w="685" w:type="pct"/>
            <w:vAlign w:val="center"/>
          </w:tcPr>
          <w:p>
            <w:pPr>
              <w:jc w:val="center"/>
              <w:rPr>
                <w:rFonts w:hint="eastAsia" w:ascii="Times New Roman" w:hAnsi="Times New Roman" w:eastAsia="宋体" w:cs="Times New Roman"/>
                <w:lang w:eastAsia="zh-CN"/>
              </w:rPr>
            </w:pPr>
            <w:r>
              <w:rPr>
                <w:rFonts w:hint="eastAsia" w:cs="Times New Roman"/>
                <w:lang w:eastAsia="zh-CN"/>
              </w:rPr>
              <w:t>生产区</w:t>
            </w:r>
          </w:p>
        </w:tc>
        <w:tc>
          <w:tcPr>
            <w:tcW w:w="614" w:type="pct"/>
            <w:vAlign w:val="center"/>
          </w:tcPr>
          <w:p>
            <w:pPr>
              <w:spacing w:line="240" w:lineRule="auto"/>
              <w:jc w:val="center"/>
              <w:rPr>
                <w:rFonts w:hint="default" w:ascii="Times New Roman" w:hAnsi="Times New Roman" w:cs="Times New Roman"/>
              </w:rPr>
            </w:pPr>
            <w:r>
              <w:rPr>
                <w:rFonts w:hint="eastAsia" w:cs="Times New Roman"/>
                <w:lang w:eastAsia="zh-CN"/>
              </w:rPr>
              <w:t>废弃润滑油</w:t>
            </w:r>
          </w:p>
        </w:tc>
        <w:tc>
          <w:tcPr>
            <w:tcW w:w="1073" w:type="pct"/>
            <w:vAlign w:val="center"/>
          </w:tcPr>
          <w:p>
            <w:pPr>
              <w:spacing w:line="240" w:lineRule="auto"/>
              <w:jc w:val="center"/>
              <w:rPr>
                <w:rFonts w:hint="eastAsia" w:ascii="Times New Roman" w:hAnsi="Times New Roman" w:eastAsia="宋体" w:cs="Times New Roman"/>
                <w:lang w:eastAsia="zh-CN"/>
              </w:rPr>
            </w:pPr>
            <w:r>
              <w:rPr>
                <w:rFonts w:hint="eastAsia" w:cs="Times New Roman"/>
                <w:lang w:eastAsia="zh-CN"/>
              </w:rPr>
              <w:t>委托有相关资质单位处置</w:t>
            </w:r>
          </w:p>
        </w:tc>
        <w:tc>
          <w:tcPr>
            <w:tcW w:w="1530" w:type="pct"/>
            <w:vMerge w:val="continue"/>
            <w:vAlign w:val="center"/>
          </w:tcPr>
          <w:p>
            <w:pPr>
              <w:wordWrap w:val="0"/>
              <w:jc w:val="center"/>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95" w:type="pct"/>
            <w:tcBorders>
              <w:tl2br w:val="nil"/>
            </w:tcBorders>
            <w:vAlign w:val="center"/>
          </w:tcPr>
          <w:p>
            <w:pPr>
              <w:jc w:val="center"/>
              <w:rPr>
                <w:rFonts w:hint="default" w:ascii="Times New Roman" w:hAnsi="Times New Roman" w:cs="Times New Roman"/>
              </w:rPr>
            </w:pPr>
            <w:r>
              <w:rPr>
                <w:rFonts w:hint="default" w:ascii="Times New Roman" w:hAnsi="Times New Roman" w:cs="Times New Roman"/>
              </w:rPr>
              <w:t>噪声</w:t>
            </w:r>
          </w:p>
        </w:tc>
        <w:tc>
          <w:tcPr>
            <w:tcW w:w="685" w:type="pct"/>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生产设备</w:t>
            </w:r>
          </w:p>
        </w:tc>
        <w:tc>
          <w:tcPr>
            <w:tcW w:w="614" w:type="pct"/>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zCs w:val="24"/>
              </w:rPr>
              <w:t>生产噪声</w:t>
            </w:r>
          </w:p>
        </w:tc>
        <w:tc>
          <w:tcPr>
            <w:tcW w:w="1073" w:type="pct"/>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rPr>
              <w:t>采取低噪声设备、设置基础减震、加强设备管理、建筑隔声、加强车辆管理等降噪措施</w:t>
            </w:r>
          </w:p>
        </w:tc>
        <w:tc>
          <w:tcPr>
            <w:tcW w:w="1530" w:type="pct"/>
            <w:vAlign w:val="center"/>
          </w:tcPr>
          <w:p>
            <w:pPr>
              <w:spacing w:line="240" w:lineRule="auto"/>
              <w:jc w:val="center"/>
              <w:rPr>
                <w:rFonts w:hint="default" w:ascii="Times New Roman" w:hAnsi="Times New Roman" w:cs="Times New Roman"/>
                <w:szCs w:val="24"/>
              </w:rPr>
            </w:pPr>
            <w:r>
              <w:rPr>
                <w:rFonts w:hint="default" w:ascii="Times New Roman" w:hAnsi="Times New Roman" w:cs="Times New Roman"/>
                <w:snapToGrid w:val="0"/>
                <w:szCs w:val="24"/>
              </w:rPr>
              <w:t>生产噪声排放满足</w:t>
            </w:r>
            <w:r>
              <w:rPr>
                <w:rFonts w:hint="default" w:ascii="Times New Roman" w:hAnsi="Times New Roman" w:cs="Times New Roman"/>
                <w:szCs w:val="24"/>
              </w:rPr>
              <w:t>《工业企业厂界环境噪声排放标准》（GB12348-2008）中3类排放标准（昼间</w:t>
            </w:r>
            <w:r>
              <w:rPr>
                <w:rFonts w:hint="default" w:ascii="Times New Roman" w:hAnsi="Times New Roman" w:cs="Times New Roman"/>
                <w:color w:val="333333"/>
                <w:szCs w:val="24"/>
                <w:shd w:val="clear" w:color="auto" w:fill="FFFFFF"/>
              </w:rPr>
              <w:t>≤</w:t>
            </w:r>
            <w:r>
              <w:rPr>
                <w:rFonts w:hint="default" w:ascii="Times New Roman" w:hAnsi="Times New Roman" w:cs="Times New Roman"/>
                <w:szCs w:val="24"/>
              </w:rPr>
              <w:t>65/夜间</w:t>
            </w:r>
            <w:r>
              <w:rPr>
                <w:rFonts w:hint="default" w:ascii="Times New Roman" w:hAnsi="Times New Roman" w:cs="Times New Roman"/>
                <w:color w:val="333333"/>
                <w:szCs w:val="24"/>
                <w:shd w:val="clear" w:color="auto" w:fill="FFFFFF"/>
              </w:rPr>
              <w:t>≤</w:t>
            </w:r>
            <w:r>
              <w:rPr>
                <w:rFonts w:hint="default" w:ascii="Times New Roman" w:hAnsi="Times New Roman" w:cs="Times New Roman"/>
                <w:szCs w:val="24"/>
              </w:rPr>
              <w:t>55dB(A)）。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1095" w:type="pct"/>
            <w:tcBorders>
              <w:tl2br w:val="nil"/>
            </w:tcBorders>
            <w:vAlign w:val="center"/>
          </w:tcPr>
          <w:p>
            <w:pPr>
              <w:jc w:val="center"/>
              <w:rPr>
                <w:rFonts w:hint="default" w:ascii="Times New Roman" w:hAnsi="Times New Roman" w:cs="Times New Roman"/>
              </w:rPr>
            </w:pPr>
            <w:r>
              <w:rPr>
                <w:rFonts w:hint="default" w:ascii="Times New Roman" w:hAnsi="Times New Roman" w:cs="Times New Roman"/>
              </w:rPr>
              <w:t>其他</w:t>
            </w:r>
          </w:p>
        </w:tc>
        <w:tc>
          <w:tcPr>
            <w:tcW w:w="3904" w:type="pct"/>
            <w:gridSpan w:val="4"/>
            <w:vAlign w:val="center"/>
          </w:tcPr>
          <w:p>
            <w:pPr>
              <w:wordWrap w:val="0"/>
              <w:rPr>
                <w:rFonts w:hint="default" w:ascii="Times New Roman" w:hAnsi="Times New Roman" w:cs="Times New Roman"/>
                <w:snapToGrid w:val="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5000" w:type="pct"/>
            <w:gridSpan w:val="5"/>
            <w:tcBorders>
              <w:tl2br w:val="nil"/>
            </w:tcBorders>
            <w:vAlign w:val="center"/>
          </w:tcPr>
          <w:p>
            <w:pPr>
              <w:rPr>
                <w:rFonts w:hint="default" w:ascii="Times New Roman" w:hAnsi="Times New Roman" w:cs="Times New Roman"/>
              </w:rPr>
            </w:pPr>
            <w:r>
              <w:rPr>
                <w:rFonts w:hint="default" w:ascii="Times New Roman" w:hAnsi="Times New Roman" w:cs="Times New Roman"/>
                <w:bCs/>
              </w:rPr>
              <w:t>生态保护措施及预期效果</w:t>
            </w:r>
            <w:r>
              <w:rPr>
                <w:rFonts w:hint="default" w:ascii="Times New Roman" w:hAnsi="Times New Roman" w:cs="Times New Roman"/>
              </w:rPr>
              <w:t>：</w:t>
            </w:r>
          </w:p>
          <w:p>
            <w:pPr>
              <w:ind w:firstLine="480" w:firstLineChars="200"/>
              <w:rPr>
                <w:rFonts w:hint="default" w:ascii="Times New Roman" w:hAnsi="Times New Roman" w:cs="Times New Roman"/>
              </w:rPr>
            </w:pPr>
            <w:r>
              <w:rPr>
                <w:rFonts w:hint="default" w:ascii="Times New Roman" w:hAnsi="Times New Roman" w:cs="Times New Roman"/>
                <w:snapToGrid w:val="0"/>
                <w:szCs w:val="24"/>
              </w:rPr>
              <w:t>项目运营过程中产生的废气、废水、噪声和固体废物等经过治理后，对该区域原有的生态环境影响轻微，本环评建议在厂区空间允许的条件下，可适当进行厂区绿化，绿化植被可以在一定程度上减轻设备噪声对环境的影响。</w:t>
            </w:r>
          </w:p>
          <w:p>
            <w:pPr>
              <w:wordWrap w:val="0"/>
              <w:rPr>
                <w:rFonts w:hint="default" w:ascii="Times New Roman" w:hAnsi="Times New Roman" w:cs="Times New Roman"/>
                <w:snapToGrid w:val="0"/>
                <w:szCs w:val="24"/>
              </w:rPr>
            </w:pPr>
          </w:p>
          <w:p>
            <w:pPr>
              <w:wordWrap w:val="0"/>
              <w:rPr>
                <w:rFonts w:hint="default" w:ascii="Times New Roman" w:hAnsi="Times New Roman" w:cs="Times New Roman"/>
                <w:snapToGrid w:val="0"/>
                <w:szCs w:val="24"/>
              </w:rPr>
            </w:pPr>
          </w:p>
        </w:tc>
      </w:tr>
    </w:tbl>
    <w:p>
      <w:pPr>
        <w:spacing w:line="240" w:lineRule="auto"/>
        <w:rPr>
          <w:rFonts w:hint="default" w:ascii="Times New Roman" w:hAnsi="Times New Roman" w:cs="Times New Roman"/>
          <w:b/>
          <w:sz w:val="32"/>
          <w:szCs w:val="32"/>
        </w:rPr>
      </w:pPr>
      <w:bookmarkStart w:id="3" w:name="_Toc359596331"/>
      <w:bookmarkStart w:id="4" w:name="_Toc418517491"/>
      <w:bookmarkStart w:id="5" w:name="_Toc356126588"/>
      <w:r>
        <w:rPr>
          <w:rFonts w:hint="default" w:ascii="Times New Roman" w:hAnsi="Times New Roman" w:cs="Times New Roman"/>
          <w:b/>
          <w:sz w:val="32"/>
          <w:szCs w:val="32"/>
        </w:rPr>
        <w:t>结论及建议</w:t>
      </w:r>
      <w:bookmarkEnd w:id="3"/>
      <w:bookmarkEnd w:id="4"/>
      <w:bookmarkEnd w:id="5"/>
    </w:p>
    <w:tbl>
      <w:tblPr>
        <w:tblStyle w:val="15"/>
        <w:tblW w:w="10349"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9" w:type="dxa"/>
          </w:tcPr>
          <w:p>
            <w:pPr>
              <w:ind w:firstLine="482" w:firstLineChars="200"/>
              <w:rPr>
                <w:rFonts w:hint="default" w:ascii="Times New Roman" w:hAnsi="Times New Roman" w:cs="Times New Roman"/>
                <w:b/>
              </w:rPr>
            </w:pPr>
            <w:r>
              <w:rPr>
                <w:rFonts w:hint="default" w:ascii="Times New Roman" w:hAnsi="Times New Roman" w:cs="Times New Roman"/>
                <w:b/>
              </w:rPr>
              <w:t>一、结论</w:t>
            </w:r>
          </w:p>
          <w:p>
            <w:pPr>
              <w:ind w:firstLine="482" w:firstLineChars="200"/>
              <w:rPr>
                <w:rFonts w:hint="default" w:ascii="Times New Roman" w:hAnsi="Times New Roman" w:cs="Times New Roman"/>
                <w:b/>
              </w:rPr>
            </w:pPr>
            <w:r>
              <w:rPr>
                <w:rFonts w:hint="default" w:ascii="Times New Roman" w:hAnsi="Times New Roman" w:cs="Times New Roman"/>
                <w:b/>
              </w:rPr>
              <w:t>1.项目概况</w:t>
            </w:r>
          </w:p>
          <w:p>
            <w:pPr>
              <w:pStyle w:val="44"/>
              <w:ind w:firstLine="476"/>
              <w:rPr>
                <w:rFonts w:hint="default" w:ascii="Times New Roman" w:hAnsi="Times New Roman" w:cs="Times New Roman"/>
              </w:rPr>
            </w:pPr>
            <w:r>
              <w:rPr>
                <w:rFonts w:hint="default" w:ascii="Times New Roman" w:hAnsi="Times New Roman" w:cs="Times New Roman"/>
                <w:szCs w:val="24"/>
              </w:rPr>
              <w:t>昌吉市新方金食品包装有限公司</w:t>
            </w:r>
            <w:r>
              <w:rPr>
                <w:rFonts w:hint="default" w:ascii="Times New Roman" w:hAnsi="Times New Roman" w:cs="Times New Roman"/>
              </w:rPr>
              <w:t>位于新疆昌吉回族自治州昌吉市大西渠镇闽昌工业园区幸福大道，坐标N44°1'51.53"</w:t>
            </w:r>
            <w:r>
              <w:rPr>
                <w:rFonts w:hint="eastAsia" w:cs="Times New Roman"/>
                <w:lang w:eastAsia="zh-CN"/>
              </w:rPr>
              <w:t>；</w:t>
            </w:r>
            <w:r>
              <w:rPr>
                <w:rFonts w:hint="default" w:ascii="Times New Roman" w:hAnsi="Times New Roman" w:cs="Times New Roman"/>
              </w:rPr>
              <w:t>E87°12'25.50"，祥顺修理厂位于厂区东侧，与厂区隔路相望；厂址北侧为未开发工业工地；洁润塑业制品有限公司位于本项目西侧，紧邻本项目；本项目南侧为协力塑业有限公司，西南侧为昌吉市仁昌商贸有限公司和昌吉市吉翔商贸有限公司。本项目共投资40万元，其中环保投资5万元，占总投资的8.33%，投资资金均由企业自筹。本项目新建塑料瓶及塑料盖生产线各一条，年生产塑料瓶360万个，塑料盖1800万个。</w:t>
            </w:r>
          </w:p>
          <w:p>
            <w:pPr>
              <w:ind w:firstLine="482" w:firstLineChars="200"/>
              <w:rPr>
                <w:rFonts w:hint="default" w:ascii="Times New Roman" w:hAnsi="Times New Roman" w:cs="Times New Roman"/>
                <w:b/>
              </w:rPr>
            </w:pPr>
            <w:r>
              <w:rPr>
                <w:rFonts w:hint="default" w:ascii="Times New Roman" w:hAnsi="Times New Roman" w:cs="Times New Roman"/>
                <w:b/>
              </w:rPr>
              <w:t>2.区域环境质量现状</w:t>
            </w:r>
          </w:p>
          <w:p>
            <w:pPr>
              <w:ind w:firstLine="480" w:firstLineChars="200"/>
              <w:rPr>
                <w:rFonts w:hint="default" w:ascii="Times New Roman" w:hAnsi="Times New Roman" w:cs="Times New Roman"/>
                <w:bCs/>
              </w:rPr>
            </w:pPr>
            <w:r>
              <w:rPr>
                <w:rFonts w:hint="default" w:ascii="Times New Roman" w:hAnsi="Times New Roman" w:cs="Times New Roman"/>
                <w:bCs/>
              </w:rPr>
              <w:t>（1）大气环境质量</w:t>
            </w:r>
          </w:p>
          <w:p>
            <w:pPr>
              <w:spacing w:before="120" w:beforeLines="50"/>
              <w:ind w:left="-2" w:leftChars="-1" w:right="-57" w:firstLine="480" w:firstLineChars="200"/>
              <w:rPr>
                <w:rFonts w:hint="default" w:ascii="Times New Roman" w:hAnsi="Times New Roman" w:cs="Times New Roman"/>
                <w:color w:val="000000" w:themeColor="text1"/>
                <w:spacing w:val="-9"/>
                <w:position w:val="2"/>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项目所在区域</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PM</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10</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、NO</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、PM</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2.5</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年平均浓度均超过《环境空气质量标准》（GB3095-2012）的二级标准要求；O</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最大8小时第90百分位数日平均浓度及CO第95百分位数日平均浓度、SO</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的年均浓度均满足《环境空气质量标准》（GB3095-2012）的二级标准要求，故本项目所在区域为非达标区。</w:t>
            </w:r>
          </w:p>
          <w:p>
            <w:pPr>
              <w:ind w:firstLine="480" w:firstLineChars="200"/>
              <w:rPr>
                <w:rFonts w:hint="default" w:ascii="Times New Roman" w:hAnsi="Times New Roman" w:cs="Times New Roman"/>
                <w:bCs/>
              </w:rPr>
            </w:pPr>
            <w:r>
              <w:rPr>
                <w:rFonts w:hint="default" w:ascii="Times New Roman" w:hAnsi="Times New Roman" w:cs="Times New Roman"/>
                <w:bCs/>
              </w:rPr>
              <w:t>（2）声环境</w:t>
            </w:r>
          </w:p>
          <w:p>
            <w:pPr>
              <w:ind w:firstLine="480" w:firstLineChars="200"/>
              <w:rPr>
                <w:rFonts w:hint="default" w:ascii="Times New Roman" w:hAnsi="Times New Roman" w:cs="Times New Roman"/>
                <w:bCs/>
              </w:rPr>
            </w:pPr>
            <w:r>
              <w:rPr>
                <w:rFonts w:hint="default" w:ascii="Times New Roman" w:hAnsi="Times New Roman" w:cs="Times New Roman"/>
                <w:bCs/>
              </w:rPr>
              <w:t>通过噪声现状监测结果分析，厂界周围昼、夜间各噪声监测点的环境背景噪声值均满足《声环境质量标准》（GB 3096-2008）中的3类区标准要求。</w:t>
            </w:r>
          </w:p>
          <w:p>
            <w:pPr>
              <w:ind w:firstLine="482" w:firstLineChars="200"/>
              <w:rPr>
                <w:rFonts w:hint="default" w:ascii="Times New Roman" w:hAnsi="Times New Roman" w:cs="Times New Roman"/>
                <w:b/>
                <w:bCs/>
              </w:rPr>
            </w:pPr>
            <w:r>
              <w:rPr>
                <w:rFonts w:hint="default" w:ascii="Times New Roman" w:hAnsi="Times New Roman" w:cs="Times New Roman"/>
                <w:b/>
                <w:bCs/>
              </w:rPr>
              <w:t>3.项目可行性</w:t>
            </w:r>
          </w:p>
          <w:p>
            <w:pPr>
              <w:ind w:firstLine="480" w:firstLineChars="200"/>
              <w:rPr>
                <w:rFonts w:hint="default" w:ascii="Times New Roman" w:hAnsi="Times New Roman" w:cs="Times New Roman"/>
                <w:bCs/>
              </w:rPr>
            </w:pPr>
            <w:r>
              <w:rPr>
                <w:rFonts w:hint="default" w:ascii="Times New Roman" w:hAnsi="Times New Roman" w:cs="Times New Roman"/>
                <w:bCs/>
              </w:rPr>
              <w:t>（1）产业政策符合性</w:t>
            </w:r>
          </w:p>
          <w:p>
            <w:pPr>
              <w:pStyle w:val="44"/>
              <w:ind w:firstLine="476"/>
              <w:rPr>
                <w:rFonts w:hint="default" w:ascii="Times New Roman" w:hAnsi="Times New Roman" w:cs="Times New Roman"/>
              </w:rPr>
            </w:pPr>
            <w:r>
              <w:rPr>
                <w:rFonts w:hint="default" w:ascii="Times New Roman" w:hAnsi="Times New Roman" w:cs="Times New Roman"/>
              </w:rPr>
              <w:t>该项目的建设不属于国家发改委21号令：《产业结构调整指导目录（2011年本）》（2013年修订）中“限制类”和“淘汰类”项目，视为允许类产业政策中允许建设的项目，该项目的建设符合国家产业政策。</w:t>
            </w:r>
          </w:p>
          <w:p>
            <w:pPr>
              <w:ind w:firstLine="480" w:firstLineChars="200"/>
              <w:rPr>
                <w:rFonts w:hint="default" w:ascii="Times New Roman" w:hAnsi="Times New Roman" w:cs="Times New Roman"/>
                <w:bCs/>
              </w:rPr>
            </w:pPr>
            <w:r>
              <w:rPr>
                <w:rFonts w:hint="default" w:ascii="Times New Roman" w:hAnsi="Times New Roman" w:cs="Times New Roman"/>
                <w:bCs/>
              </w:rPr>
              <w:t>（2）</w:t>
            </w:r>
            <w:r>
              <w:rPr>
                <w:rFonts w:hint="eastAsia" w:cs="Times New Roman"/>
                <w:bCs/>
                <w:lang w:eastAsia="zh-CN"/>
              </w:rPr>
              <w:t>厂址规划符合性</w:t>
            </w:r>
            <w:r>
              <w:rPr>
                <w:rFonts w:hint="default" w:ascii="Times New Roman" w:hAnsi="Times New Roman" w:cs="Times New Roman"/>
                <w:bCs/>
              </w:rPr>
              <w:t>分析</w:t>
            </w:r>
          </w:p>
          <w:p>
            <w:pPr>
              <w:pStyle w:val="44"/>
              <w:ind w:firstLine="476"/>
              <w:rPr>
                <w:rFonts w:hint="eastAsia"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闽昌工业园区位于昌吉市西北部6km处的大西渠镇</w:t>
            </w:r>
            <w:r>
              <w:rPr>
                <w:rFonts w:hint="eastAsia" w:cs="Times New Roman"/>
                <w:color w:val="000000" w:themeColor="text1"/>
                <w:lang w:eastAsia="zh-CN"/>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昌吉市大西渠镇闽昌产业集中区属于昌吉市人民政府批准，</w:t>
            </w:r>
            <w:r>
              <w:rPr>
                <w:rFonts w:hint="eastAsia"/>
                <w:color w:val="000000" w:themeColor="text1"/>
                <w14:textFill>
                  <w14:solidFill>
                    <w14:schemeClr w14:val="tx1"/>
                  </w14:solidFill>
                </w14:textFill>
              </w:rPr>
              <w:t>根据《关于闽昌工业园区总体规划（2013-2030）环境影响报告书的审查意见》（新环函【2014】136号）</w:t>
            </w:r>
            <w:r>
              <w:rPr>
                <w:rFonts w:hint="eastAsia"/>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产业集中区规划总面积5000亩，南起昌吉市西延的石河子路，西至大西渠镇行政区划界限，东至大西渠镇区的幸福路，北至昌吉市西延的北环路，规划范围7.4km</w:t>
            </w:r>
            <w:r>
              <w:rPr>
                <w:rFonts w:hint="default" w:ascii="Times New Roman" w:hAnsi="Times New Roman" w:cs="Times New Roman"/>
                <w:color w:val="000000" w:themeColor="text1"/>
                <w:vertAlign w:val="superscript"/>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。规划期限分为近期和远期两个阶段，近期(2012-2015年)、远期(2016-2030)。</w:t>
            </w:r>
            <w:r>
              <w:rPr>
                <w:rFonts w:hint="eastAsia" w:ascii="Times New Roman" w:hAnsi="Times New Roman" w:cs="Times New Roman"/>
                <w:color w:val="000000" w:themeColor="text1"/>
                <w14:textFill>
                  <w14:solidFill>
                    <w14:schemeClr w14:val="tx1"/>
                  </w14:solidFill>
                </w14:textFill>
              </w:rPr>
              <w:t>园区功能定位为以农副产品加工、食品加工、商贸为主导产业。</w:t>
            </w:r>
          </w:p>
          <w:p>
            <w:pPr>
              <w:pStyle w:val="44"/>
              <w:ind w:firstLine="476"/>
              <w:rPr>
                <w:rFonts w:hint="eastAsia"/>
                <w:color w:val="000000" w:themeColor="text1"/>
                <w14:textFill>
                  <w14:solidFill>
                    <w14:schemeClr w14:val="tx1"/>
                  </w14:solidFill>
                </w14:textFill>
              </w:rPr>
            </w:pPr>
            <w:r>
              <w:rPr>
                <w:rFonts w:hint="default" w:ascii="Times New Roman" w:hAnsi="Times New Roman" w:cs="Times New Roman"/>
                <w:color w:val="000000" w:themeColor="text1"/>
                <w:szCs w:val="24"/>
                <w14:textFill>
                  <w14:solidFill>
                    <w14:schemeClr w14:val="tx1"/>
                  </w14:solidFill>
                </w14:textFill>
              </w:rPr>
              <w:t>昌吉市新方金食品包装有限</w:t>
            </w:r>
            <w:r>
              <w:rPr>
                <w:rFonts w:hint="default" w:ascii="Times New Roman" w:hAnsi="Times New Roman" w:cs="Times New Roman"/>
                <w:color w:val="000000" w:themeColor="text1"/>
                <w14:textFill>
                  <w14:solidFill>
                    <w14:schemeClr w14:val="tx1"/>
                  </w14:solidFill>
                </w14:textFill>
              </w:rPr>
              <w:t>公司主要从事食品包装塑料生产，主要产品为酱油包装瓶和包装瓶盖子，</w:t>
            </w:r>
            <w:r>
              <w:rPr>
                <w:rFonts w:hint="eastAsia" w:cs="Times New Roman"/>
                <w:color w:val="000000" w:themeColor="text1"/>
                <w:highlight w:val="none"/>
                <w:lang w:eastAsia="zh-CN"/>
                <w14:textFill>
                  <w14:solidFill>
                    <w14:schemeClr w14:val="tx1"/>
                  </w14:solidFill>
                </w14:textFill>
              </w:rPr>
              <w:t>本项目为食品加工配套产业，经昌吉市大西渠镇人民政府研究决定符合，准予本项目办理入园备案登记。</w:t>
            </w:r>
            <w:r>
              <w:rPr>
                <w:rFonts w:hint="eastAsia"/>
                <w:color w:val="000000" w:themeColor="text1"/>
                <w:highlight w:val="none"/>
                <w14:textFill>
                  <w14:solidFill>
                    <w14:schemeClr w14:val="tx1"/>
                  </w14:solidFill>
                </w14:textFill>
              </w:rPr>
              <w:t>本项</w:t>
            </w:r>
            <w:r>
              <w:rPr>
                <w:rFonts w:hint="eastAsia"/>
                <w:color w:val="000000" w:themeColor="text1"/>
                <w14:textFill>
                  <w14:solidFill>
                    <w14:schemeClr w14:val="tx1"/>
                  </w14:solidFill>
                </w14:textFill>
              </w:rPr>
              <w:t>目的建设符合《</w:t>
            </w:r>
            <w:r>
              <w:rPr>
                <w:color w:val="000000" w:themeColor="text1"/>
                <w14:textFill>
                  <w14:solidFill>
                    <w14:schemeClr w14:val="tx1"/>
                  </w14:solidFill>
                </w14:textFill>
              </w:rPr>
              <w:t>闽昌工业园</w:t>
            </w:r>
            <w:r>
              <w:rPr>
                <w:rFonts w:hint="eastAsia"/>
                <w:color w:val="000000" w:themeColor="text1"/>
                <w14:textFill>
                  <w14:solidFill>
                    <w14:schemeClr w14:val="tx1"/>
                  </w14:solidFill>
                </w14:textFill>
              </w:rPr>
              <w:t>总体规划》（2016年-2030年）中的产业定位和土地利用规划的要求。工业园区产业定位和土地利用规划图见</w:t>
            </w:r>
            <w:r>
              <w:rPr>
                <w:rFonts w:hint="eastAsia"/>
                <w:color w:val="000000" w:themeColor="text1"/>
                <w:lang w:eastAsia="zh-CN"/>
                <w14:textFill>
                  <w14:solidFill>
                    <w14:schemeClr w14:val="tx1"/>
                  </w14:solidFill>
                </w14:textFill>
              </w:rPr>
              <w:t>附</w:t>
            </w:r>
            <w:r>
              <w:rPr>
                <w:rFonts w:hint="eastAsia"/>
                <w:color w:val="000000" w:themeColor="text1"/>
                <w14:textFill>
                  <w14:solidFill>
                    <w14:schemeClr w14:val="tx1"/>
                  </w14:solidFill>
                </w14:textFill>
              </w:rPr>
              <w:t>图4。</w:t>
            </w:r>
          </w:p>
          <w:p>
            <w:pPr>
              <w:pStyle w:val="44"/>
              <w:ind w:firstLine="478"/>
              <w:rPr>
                <w:rFonts w:hint="default" w:ascii="Times New Roman" w:hAnsi="Times New Roman" w:cs="Times New Roman"/>
              </w:rPr>
            </w:pPr>
            <w:r>
              <w:rPr>
                <w:rFonts w:hint="default" w:ascii="Times New Roman" w:hAnsi="Times New Roman" w:cs="Times New Roman"/>
                <w:b/>
                <w:bCs/>
              </w:rPr>
              <w:t>4.环境影响分析结论</w:t>
            </w:r>
          </w:p>
          <w:p>
            <w:pPr>
              <w:wordWrap w:val="0"/>
              <w:ind w:firstLine="480" w:firstLineChars="200"/>
              <w:rPr>
                <w:rFonts w:hint="default" w:ascii="Times New Roman" w:hAnsi="Times New Roman" w:cs="Times New Roman"/>
              </w:rPr>
            </w:pPr>
            <w:r>
              <w:rPr>
                <w:rFonts w:hint="default" w:ascii="Times New Roman" w:hAnsi="Times New Roman" w:cs="Times New Roman"/>
              </w:rPr>
              <w:t>（1）废气影响分析结论</w:t>
            </w:r>
          </w:p>
          <w:p>
            <w:pPr>
              <w:ind w:firstLine="480" w:firstLineChars="200"/>
              <w:rPr>
                <w:rFonts w:hint="default" w:ascii="Times New Roman" w:hAnsi="Times New Roman" w:cs="Times New Roman"/>
                <w:highlight w:val="none"/>
              </w:rPr>
            </w:pPr>
            <w:r>
              <w:rPr>
                <w:rFonts w:hint="default" w:ascii="Times New Roman" w:hAnsi="Times New Roman" w:cs="Times New Roman"/>
              </w:rPr>
              <w:t>本项目在生产过程中产生的熔融吹塑废气经集尘罩、光氧催化设备收集处理后通过15m高排气筒排放，有组织熔融吹塑废气排放浓度为1.84mg/m³</w:t>
            </w:r>
            <w:r>
              <w:rPr>
                <w:rFonts w:hint="default" w:ascii="Times New Roman" w:hAnsi="Times New Roman" w:cs="Times New Roman"/>
                <w:highlight w:val="none"/>
              </w:rPr>
              <w:t>，满足</w:t>
            </w:r>
            <w:r>
              <w:rPr>
                <w:rFonts w:hint="eastAsia" w:cs="Times New Roman"/>
                <w:sz w:val="24"/>
                <w:szCs w:val="24"/>
                <w:highlight w:val="none"/>
                <w:lang w:eastAsia="zh-CN"/>
              </w:rPr>
              <w:t>《</w:t>
            </w:r>
            <w:r>
              <w:rPr>
                <w:rFonts w:hint="default" w:ascii="Times New Roman" w:hAnsi="Times New Roman" w:cs="Times New Roman"/>
                <w:sz w:val="24"/>
                <w:szCs w:val="24"/>
                <w:highlight w:val="none"/>
              </w:rPr>
              <w:t>合成树脂工业污染物排放标准》（GB31572-2015）表4中非甲烷总烃排放限值</w:t>
            </w:r>
            <w:r>
              <w:rPr>
                <w:rFonts w:hint="default" w:ascii="Times New Roman" w:hAnsi="Times New Roman" w:cs="Times New Roman"/>
                <w:highlight w:val="none"/>
              </w:rPr>
              <w:t>，厂界无组织熔融吹塑废气浓度满足</w:t>
            </w:r>
            <w:r>
              <w:rPr>
                <w:rFonts w:hint="default" w:ascii="Times New Roman" w:hAnsi="Times New Roman" w:cs="Times New Roman"/>
                <w:sz w:val="24"/>
                <w:szCs w:val="24"/>
              </w:rPr>
              <w:t>《</w:t>
            </w:r>
            <w:r>
              <w:rPr>
                <w:rFonts w:hint="eastAsia" w:cs="Times New Roman"/>
                <w:sz w:val="24"/>
                <w:szCs w:val="24"/>
                <w:lang w:eastAsia="zh-CN"/>
              </w:rPr>
              <w:t>挥发性有机物无组织排放控制</w:t>
            </w:r>
            <w:r>
              <w:rPr>
                <w:rFonts w:hint="default" w:ascii="Times New Roman" w:hAnsi="Times New Roman" w:cs="Times New Roman"/>
                <w:sz w:val="24"/>
                <w:szCs w:val="24"/>
              </w:rPr>
              <w:t>标准》（GB3</w:t>
            </w:r>
            <w:r>
              <w:rPr>
                <w:rFonts w:hint="eastAsia" w:cs="Times New Roman"/>
                <w:sz w:val="24"/>
                <w:szCs w:val="24"/>
                <w:lang w:val="en-US" w:eastAsia="zh-CN"/>
              </w:rPr>
              <w:t>7822</w:t>
            </w:r>
            <w:r>
              <w:rPr>
                <w:rFonts w:hint="default" w:ascii="Times New Roman" w:hAnsi="Times New Roman" w:cs="Times New Roman"/>
                <w:sz w:val="24"/>
                <w:szCs w:val="24"/>
              </w:rPr>
              <w:t>-201</w:t>
            </w:r>
            <w:r>
              <w:rPr>
                <w:rFonts w:hint="eastAsia" w:cs="Times New Roman"/>
                <w:sz w:val="24"/>
                <w:szCs w:val="24"/>
                <w:lang w:val="en-US" w:eastAsia="zh-CN"/>
              </w:rPr>
              <w:t>9</w:t>
            </w:r>
            <w:r>
              <w:rPr>
                <w:rFonts w:hint="default" w:ascii="Times New Roman" w:hAnsi="Times New Roman" w:cs="Times New Roman"/>
                <w:sz w:val="24"/>
                <w:szCs w:val="24"/>
              </w:rPr>
              <w:t>）表</w:t>
            </w:r>
            <w:r>
              <w:rPr>
                <w:rFonts w:hint="eastAsia" w:cs="Times New Roman"/>
                <w:sz w:val="24"/>
                <w:szCs w:val="24"/>
                <w:lang w:val="en-US" w:eastAsia="zh-CN"/>
              </w:rPr>
              <w:t>A.1厂区内VOCs无组织排放限制中的特别排放限值</w:t>
            </w:r>
            <w:r>
              <w:rPr>
                <w:rFonts w:hint="default" w:ascii="Times New Roman" w:hAnsi="Times New Roman" w:cs="Times New Roman"/>
                <w:highlight w:val="none"/>
              </w:rPr>
              <w:t>；边角料采用密闭破碎机处理，产生粉尘较少。</w:t>
            </w:r>
          </w:p>
          <w:p>
            <w:pPr>
              <w:ind w:firstLine="480" w:firstLineChars="200"/>
              <w:rPr>
                <w:rFonts w:hint="default" w:ascii="Times New Roman" w:hAnsi="Times New Roman" w:cs="Times New Roman"/>
              </w:rPr>
            </w:pPr>
            <w:r>
              <w:rPr>
                <w:rFonts w:hint="default" w:ascii="Times New Roman" w:hAnsi="Times New Roman" w:cs="Times New Roman"/>
              </w:rPr>
              <w:t>综合上述，项目生产过程产生的废气对周边环境影响较小。</w:t>
            </w:r>
          </w:p>
          <w:p>
            <w:pPr>
              <w:wordWrap w:val="0"/>
              <w:ind w:firstLine="480" w:firstLineChars="200"/>
              <w:rPr>
                <w:rFonts w:hint="default" w:ascii="Times New Roman" w:hAnsi="Times New Roman" w:cs="Times New Roman"/>
              </w:rPr>
            </w:pPr>
            <w:r>
              <w:rPr>
                <w:rFonts w:hint="default" w:ascii="Times New Roman" w:hAnsi="Times New Roman" w:cs="Times New Roman"/>
              </w:rPr>
              <w:t>（2）废水影响分析结论</w:t>
            </w:r>
          </w:p>
          <w:p>
            <w:pPr>
              <w:ind w:firstLine="480" w:firstLineChars="200"/>
              <w:rPr>
                <w:rFonts w:hint="default" w:ascii="Times New Roman" w:hAnsi="Times New Roman" w:cs="Times New Roman"/>
              </w:rPr>
            </w:pPr>
            <w:r>
              <w:rPr>
                <w:rFonts w:hint="default" w:ascii="Times New Roman" w:hAnsi="Times New Roman" w:cs="Times New Roman"/>
              </w:rPr>
              <w:t>本项目无生产废水产生。产生的废水主要为员工生活废水，生活废水经园区污水管网运至当地污水处理厂处理。项目产生的</w:t>
            </w:r>
            <w:r>
              <w:rPr>
                <w:rFonts w:hint="default" w:ascii="Times New Roman" w:hAnsi="Times New Roman" w:cs="Times New Roman"/>
                <w:szCs w:val="24"/>
              </w:rPr>
              <w:t>废水对周边环境影响较小。</w:t>
            </w:r>
          </w:p>
          <w:p>
            <w:pPr>
              <w:wordWrap w:val="0"/>
              <w:ind w:firstLine="480" w:firstLineChars="200"/>
              <w:rPr>
                <w:rFonts w:hint="default" w:ascii="Times New Roman" w:hAnsi="Times New Roman" w:cs="Times New Roman"/>
              </w:rPr>
            </w:pPr>
            <w:r>
              <w:rPr>
                <w:rFonts w:hint="default" w:ascii="Times New Roman" w:hAnsi="Times New Roman" w:cs="Times New Roman"/>
              </w:rPr>
              <w:t>（3）噪声影响分析结论</w:t>
            </w:r>
          </w:p>
          <w:p>
            <w:pPr>
              <w:ind w:firstLine="480" w:firstLineChars="200"/>
              <w:rPr>
                <w:rFonts w:hint="default" w:ascii="Times New Roman" w:hAnsi="Times New Roman" w:cs="Times New Roman"/>
              </w:rPr>
            </w:pPr>
            <w:r>
              <w:rPr>
                <w:rFonts w:hint="default" w:ascii="Times New Roman" w:hAnsi="Times New Roman" w:cs="Times New Roman"/>
              </w:rPr>
              <w:t>通过采取对生产设备加装减震垫、加强设备护养、加装隔声间等措施后，厂界噪声排放值满足《工业企业厂界环境噪声排放标准》（GB12348-2008）中3类标准要求。本项目生产</w:t>
            </w:r>
            <w:r>
              <w:rPr>
                <w:rFonts w:hint="default" w:ascii="Times New Roman" w:hAnsi="Times New Roman" w:cs="Times New Roman"/>
                <w:szCs w:val="24"/>
              </w:rPr>
              <w:t>噪声对周边环境影响较小。</w:t>
            </w:r>
          </w:p>
          <w:p>
            <w:pPr>
              <w:wordWrap w:val="0"/>
              <w:ind w:firstLine="480" w:firstLineChars="200"/>
              <w:rPr>
                <w:rFonts w:hint="default" w:ascii="Times New Roman" w:hAnsi="Times New Roman" w:cs="Times New Roman"/>
              </w:rPr>
            </w:pPr>
            <w:r>
              <w:rPr>
                <w:rFonts w:hint="default" w:ascii="Times New Roman" w:hAnsi="Times New Roman" w:cs="Times New Roman"/>
              </w:rPr>
              <w:t>（4）固体废物影响分析结论</w:t>
            </w:r>
          </w:p>
          <w:p>
            <w:pPr>
              <w:ind w:firstLine="480" w:firstLineChars="200"/>
              <w:rPr>
                <w:rFonts w:hint="default" w:ascii="Times New Roman" w:hAnsi="Times New Roman" w:cs="Times New Roman"/>
                <w:szCs w:val="24"/>
              </w:rPr>
            </w:pPr>
            <w:r>
              <w:rPr>
                <w:rFonts w:hint="default" w:ascii="Times New Roman" w:hAnsi="Times New Roman" w:cs="Times New Roman"/>
              </w:rPr>
              <w:t>本项目修饰工序产生的边角料可作为生产原料回用于生产，员工生活垃圾设置垃圾箱统一收集定期交由当地环卫部门进行处理</w:t>
            </w:r>
            <w:r>
              <w:rPr>
                <w:rFonts w:hint="eastAsia" w:cs="Times New Roman"/>
                <w:lang w:eastAsia="zh-CN"/>
              </w:rPr>
              <w:t>；废弃润滑油委托有相关资质单位处置</w:t>
            </w:r>
            <w:r>
              <w:rPr>
                <w:rFonts w:hint="default" w:ascii="Times New Roman" w:hAnsi="Times New Roman" w:cs="Times New Roman"/>
              </w:rPr>
              <w:t>。项目生产过程产生的固体废物均可得到有效处理，</w:t>
            </w:r>
            <w:r>
              <w:rPr>
                <w:rFonts w:hint="default" w:ascii="Times New Roman" w:hAnsi="Times New Roman" w:cs="Times New Roman"/>
                <w:szCs w:val="24"/>
              </w:rPr>
              <w:t>对周边环境影响较小。</w:t>
            </w:r>
          </w:p>
          <w:p>
            <w:pPr>
              <w:ind w:firstLine="482" w:firstLineChars="200"/>
              <w:rPr>
                <w:rFonts w:hint="default" w:ascii="Times New Roman" w:hAnsi="Times New Roman" w:cs="Times New Roman"/>
                <w:b/>
                <w:bCs/>
              </w:rPr>
            </w:pPr>
            <w:r>
              <w:rPr>
                <w:rFonts w:hint="default" w:ascii="Times New Roman" w:hAnsi="Times New Roman" w:cs="Times New Roman"/>
                <w:b/>
                <w:bCs/>
              </w:rPr>
              <w:t>5.综合结论</w:t>
            </w:r>
          </w:p>
          <w:p>
            <w:pPr>
              <w:ind w:firstLine="480" w:firstLineChars="200"/>
              <w:rPr>
                <w:rFonts w:hint="default" w:ascii="Times New Roman" w:hAnsi="Times New Roman" w:cs="Times New Roman"/>
              </w:rPr>
            </w:pPr>
            <w:r>
              <w:rPr>
                <w:rFonts w:hint="default" w:ascii="Times New Roman" w:hAnsi="Times New Roman" w:cs="Times New Roman"/>
              </w:rPr>
              <w:t>综上所述，本项目建设符合国家产业政策，项目选址合理，平面布局合理，项目建设所在地区域内环境质量现状较好，本项目在按本报告环评要求加强运营期内的环保及污染防范措施后，可以有效减缓工程建设带来的不利影响，从环境角度来看，该项目是可行的。</w:t>
            </w:r>
          </w:p>
          <w:p>
            <w:pPr>
              <w:ind w:firstLine="482" w:firstLineChars="200"/>
              <w:rPr>
                <w:rFonts w:hint="default" w:ascii="Times New Roman" w:hAnsi="Times New Roman" w:cs="Times New Roman"/>
                <w:b/>
              </w:rPr>
            </w:pPr>
            <w:r>
              <w:rPr>
                <w:rFonts w:hint="default" w:ascii="Times New Roman" w:hAnsi="Times New Roman" w:cs="Times New Roman"/>
                <w:b/>
              </w:rPr>
              <w:t>二、建议</w:t>
            </w:r>
          </w:p>
          <w:p>
            <w:pPr>
              <w:ind w:firstLine="480" w:firstLineChars="200"/>
              <w:rPr>
                <w:rFonts w:hint="default" w:ascii="Times New Roman" w:hAnsi="Times New Roman" w:cs="Times New Roman"/>
              </w:rPr>
            </w:pPr>
            <w:r>
              <w:rPr>
                <w:rFonts w:hint="default" w:ascii="Times New Roman" w:hAnsi="Times New Roman" w:cs="Times New Roman"/>
              </w:rPr>
              <w:t>1.建议企业加强管理，使生产污染物尽量消除在源头，厂区内应保证清洁，定期打扫卫生。</w:t>
            </w:r>
          </w:p>
          <w:p>
            <w:pPr>
              <w:ind w:firstLine="480" w:firstLineChars="200"/>
              <w:rPr>
                <w:rFonts w:hint="default" w:ascii="Times New Roman" w:hAnsi="Times New Roman" w:cs="Times New Roman"/>
              </w:rPr>
            </w:pPr>
            <w:r>
              <w:rPr>
                <w:rFonts w:hint="default" w:ascii="Times New Roman" w:hAnsi="Times New Roman" w:cs="Times New Roman"/>
              </w:rPr>
              <w:t>2.认真落实国家和地方的各项环保法规和要求，建立健全各项规章制度，全面落实各项污染防治措施，切实做到责任到人，确保所有的污染物均能达标排放。</w:t>
            </w:r>
          </w:p>
          <w:p>
            <w:pPr>
              <w:ind w:firstLine="480" w:firstLineChars="200"/>
              <w:rPr>
                <w:rFonts w:hint="default" w:ascii="Times New Roman" w:hAnsi="Times New Roman" w:cs="Times New Roman"/>
              </w:rPr>
            </w:pPr>
            <w:r>
              <w:rPr>
                <w:rFonts w:hint="default" w:ascii="Times New Roman" w:hAnsi="Times New Roman" w:cs="Times New Roman"/>
              </w:rPr>
              <w:t>3.项目投产后，应加强设备管理，定期维护和保养，并定期对生产设备进行检查，对事故机器及时维修、更换，确保设备完好；制定合理的操作、管理制度，工作人员培训上岗，杜绝污染事故发生。</w:t>
            </w:r>
          </w:p>
          <w:p>
            <w:pPr>
              <w:ind w:firstLine="480" w:firstLineChars="200"/>
              <w:rPr>
                <w:rFonts w:hint="default" w:ascii="Times New Roman" w:hAnsi="Times New Roman" w:cs="Times New Roman"/>
              </w:rPr>
            </w:pPr>
            <w:r>
              <w:rPr>
                <w:rFonts w:hint="default" w:ascii="Times New Roman" w:hAnsi="Times New Roman" w:cs="Times New Roman"/>
              </w:rPr>
              <w:t>4.生产过程应对操作人员加强卫生防护。</w:t>
            </w:r>
          </w:p>
          <w:p>
            <w:pPr>
              <w:ind w:firstLine="480" w:firstLineChars="200"/>
              <w:rPr>
                <w:rFonts w:hint="default" w:ascii="Times New Roman" w:hAnsi="Times New Roman" w:cs="Times New Roman"/>
              </w:rPr>
            </w:pPr>
            <w:r>
              <w:rPr>
                <w:rFonts w:hint="default" w:ascii="Times New Roman" w:hAnsi="Times New Roman" w:cs="Times New Roman"/>
              </w:rPr>
              <w:t>5.加强噪声防治工作，避免噪声污染。</w:t>
            </w: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p>
            <w:pPr>
              <w:rPr>
                <w:rFonts w:hint="default" w:ascii="Times New Roman" w:hAnsi="Times New Roman" w:cs="Times New Roman"/>
              </w:rPr>
            </w:pPr>
          </w:p>
          <w:p>
            <w:pPr>
              <w:ind w:firstLine="480" w:firstLineChars="200"/>
              <w:rPr>
                <w:rFonts w:hint="default" w:ascii="Times New Roman" w:hAnsi="Times New Roman" w:cs="Times New Roman"/>
              </w:rPr>
            </w:pPr>
          </w:p>
          <w:p>
            <w:pPr>
              <w:ind w:firstLine="480" w:firstLineChars="200"/>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9" w:type="dxa"/>
          </w:tcPr>
          <w:p>
            <w:pPr>
              <w:spacing w:before="120" w:beforeLines="50"/>
              <w:rPr>
                <w:rFonts w:hint="default" w:ascii="Times New Roman" w:hAnsi="Times New Roman" w:cs="Times New Roman"/>
                <w:b/>
                <w:sz w:val="28"/>
              </w:rPr>
            </w:pPr>
            <w:r>
              <w:rPr>
                <w:rFonts w:hint="default" w:ascii="Times New Roman" w:hAnsi="Times New Roman" w:cs="Times New Roman"/>
                <w:b/>
                <w:sz w:val="28"/>
              </w:rPr>
              <w:t>预审意见：</w:t>
            </w: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ind w:firstLine="482" w:firstLineChars="200"/>
              <w:rPr>
                <w:rFonts w:hint="default" w:ascii="Times New Roman" w:hAnsi="Times New Roman" w:cs="Times New Roman"/>
                <w:b/>
              </w:rPr>
            </w:pPr>
          </w:p>
          <w:p>
            <w:pPr>
              <w:spacing w:line="240" w:lineRule="auto"/>
              <w:ind w:firstLine="7280" w:firstLineChars="2600"/>
              <w:jc w:val="left"/>
              <w:rPr>
                <w:rFonts w:hint="default" w:ascii="Times New Roman" w:hAnsi="Times New Roman" w:cs="Times New Roman"/>
                <w:color w:val="000000" w:themeColor="text1"/>
                <w:sz w:val="28"/>
                <w14:textFill>
                  <w14:solidFill>
                    <w14:schemeClr w14:val="tx1"/>
                  </w14:solidFill>
                </w14:textFill>
              </w:rPr>
            </w:pPr>
            <w:r>
              <w:rPr>
                <w:rFonts w:hint="default" w:ascii="Times New Roman" w:hAnsi="Times New Roman" w:cs="Times New Roman"/>
                <w:color w:val="000000" w:themeColor="text1"/>
                <w:sz w:val="28"/>
                <w14:textFill>
                  <w14:solidFill>
                    <w14:schemeClr w14:val="tx1"/>
                  </w14:solidFill>
                </w14:textFill>
              </w:rPr>
              <w:t>公   章</w:t>
            </w:r>
          </w:p>
          <w:p>
            <w:pPr>
              <w:rPr>
                <w:rFonts w:hint="default" w:ascii="Times New Roman" w:hAnsi="Times New Roman" w:cs="Times New Roman"/>
                <w:color w:val="000000" w:themeColor="text1"/>
                <w:sz w:val="28"/>
                <w14:textFill>
                  <w14:solidFill>
                    <w14:schemeClr w14:val="tx1"/>
                  </w14:solidFill>
                </w14:textFill>
              </w:rPr>
            </w:pPr>
          </w:p>
          <w:p>
            <w:pPr>
              <w:rPr>
                <w:rFonts w:hint="default" w:ascii="Times New Roman" w:hAnsi="Times New Roman" w:cs="Times New Roman"/>
                <w:color w:val="000000" w:themeColor="text1"/>
                <w:sz w:val="28"/>
                <w14:textFill>
                  <w14:solidFill>
                    <w14:schemeClr w14:val="tx1"/>
                  </w14:solidFill>
                </w14:textFill>
              </w:rPr>
            </w:pPr>
            <w:r>
              <w:rPr>
                <w:rFonts w:hint="default" w:ascii="Times New Roman" w:hAnsi="Times New Roman" w:cs="Times New Roman"/>
                <w:color w:val="000000" w:themeColor="text1"/>
                <w:sz w:val="28"/>
                <w14:textFill>
                  <w14:solidFill>
                    <w14:schemeClr w14:val="tx1"/>
                  </w14:solidFill>
                </w14:textFill>
              </w:rPr>
              <w:t>经办人：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9" w:type="dxa"/>
          </w:tcPr>
          <w:p>
            <w:pPr>
              <w:spacing w:line="240" w:lineRule="auto"/>
              <w:jc w:val="left"/>
              <w:rPr>
                <w:rFonts w:hint="default" w:ascii="Times New Roman" w:hAnsi="Times New Roman" w:cs="Times New Roman"/>
                <w:color w:val="000000" w:themeColor="text1"/>
                <w:sz w:val="28"/>
                <w14:textFill>
                  <w14:solidFill>
                    <w14:schemeClr w14:val="tx1"/>
                  </w14:solidFill>
                </w14:textFill>
              </w:rPr>
            </w:pPr>
            <w:r>
              <w:rPr>
                <w:rFonts w:hint="default" w:ascii="Times New Roman" w:hAnsi="Times New Roman" w:cs="Times New Roman"/>
                <w:color w:val="000000" w:themeColor="text1"/>
                <w:sz w:val="28"/>
                <w14:textFill>
                  <w14:solidFill>
                    <w14:schemeClr w14:val="tx1"/>
                  </w14:solidFill>
                </w14:textFill>
              </w:rPr>
              <w:t>下一级环境保护行政主管部门审查意见：</w:t>
            </w: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before="120" w:beforeLines="50" w:line="240" w:lineRule="auto"/>
              <w:rPr>
                <w:rFonts w:hint="default" w:ascii="Times New Roman" w:hAnsi="Times New Roman" w:cs="Times New Roman"/>
                <w:b/>
                <w:sz w:val="28"/>
              </w:rPr>
            </w:pPr>
          </w:p>
          <w:p>
            <w:pPr>
              <w:spacing w:line="240" w:lineRule="auto"/>
              <w:ind w:firstLine="560"/>
              <w:jc w:val="left"/>
              <w:rPr>
                <w:rFonts w:hint="default" w:ascii="Times New Roman" w:hAnsi="Times New Roman" w:cs="Times New Roman"/>
                <w:color w:val="000000" w:themeColor="text1"/>
                <w:sz w:val="28"/>
                <w14:textFill>
                  <w14:solidFill>
                    <w14:schemeClr w14:val="tx1"/>
                  </w14:solidFill>
                </w14:textFill>
              </w:rPr>
            </w:pPr>
            <w:r>
              <w:rPr>
                <w:rFonts w:hint="default" w:ascii="Times New Roman" w:hAnsi="Times New Roman" w:cs="Times New Roman"/>
                <w:color w:val="000000" w:themeColor="text1"/>
                <w:sz w:val="28"/>
                <w14:textFill>
                  <w14:solidFill>
                    <w14:schemeClr w14:val="tx1"/>
                  </w14:solidFill>
                </w14:textFill>
              </w:rPr>
              <w:t xml:space="preserve">                                              </w:t>
            </w:r>
            <w:r>
              <w:rPr>
                <w:rFonts w:hint="eastAsia" w:cs="Times New Roman"/>
                <w:color w:val="000000" w:themeColor="text1"/>
                <w:sz w:val="28"/>
                <w:lang w:val="en-US" w:eastAsia="zh-CN"/>
                <w14:textFill>
                  <w14:solidFill>
                    <w14:schemeClr w14:val="tx1"/>
                  </w14:solidFill>
                </w14:textFill>
              </w:rPr>
              <w:t xml:space="preserve">                                                           </w:t>
            </w:r>
            <w:r>
              <w:rPr>
                <w:rFonts w:hint="default" w:ascii="Times New Roman" w:hAnsi="Times New Roman" w:cs="Times New Roman"/>
                <w:color w:val="000000" w:themeColor="text1"/>
                <w:sz w:val="28"/>
                <w14:textFill>
                  <w14:solidFill>
                    <w14:schemeClr w14:val="tx1"/>
                  </w14:solidFill>
                </w14:textFill>
              </w:rPr>
              <w:t>公   章</w:t>
            </w:r>
          </w:p>
          <w:p>
            <w:pPr>
              <w:spacing w:line="240" w:lineRule="auto"/>
              <w:ind w:firstLine="560"/>
              <w:jc w:val="left"/>
              <w:rPr>
                <w:rFonts w:hint="default" w:ascii="Times New Roman" w:hAnsi="Times New Roman" w:cs="Times New Roman"/>
                <w:color w:val="000000" w:themeColor="text1"/>
                <w:sz w:val="28"/>
                <w14:textFill>
                  <w14:solidFill>
                    <w14:schemeClr w14:val="tx1"/>
                  </w14:solidFill>
                </w14:textFill>
              </w:rPr>
            </w:pPr>
          </w:p>
          <w:p>
            <w:pPr>
              <w:spacing w:before="120" w:beforeLines="50"/>
              <w:rPr>
                <w:rFonts w:hint="default" w:ascii="Times New Roman" w:hAnsi="Times New Roman" w:cs="Times New Roman"/>
                <w:b/>
                <w:sz w:val="28"/>
              </w:rPr>
            </w:pPr>
            <w:r>
              <w:rPr>
                <w:rFonts w:hint="default" w:ascii="Times New Roman" w:hAnsi="Times New Roman" w:cs="Times New Roman"/>
                <w:color w:val="000000" w:themeColor="text1"/>
                <w:sz w:val="28"/>
                <w14:textFill>
                  <w14:solidFill>
                    <w14:schemeClr w14:val="tx1"/>
                  </w14:solidFill>
                </w14:textFill>
              </w:rPr>
              <w:t>经办人：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9" w:type="dxa"/>
          </w:tcPr>
          <w:p>
            <w:pPr>
              <w:spacing w:line="240" w:lineRule="auto"/>
              <w:rPr>
                <w:rFonts w:hint="default" w:ascii="Times New Roman" w:hAnsi="Times New Roman" w:cs="Times New Roman"/>
                <w:b/>
                <w:sz w:val="28"/>
              </w:rPr>
            </w:pPr>
            <w:r>
              <w:rPr>
                <w:rFonts w:hint="default" w:ascii="Times New Roman" w:hAnsi="Times New Roman" w:cs="Times New Roman"/>
                <w:b/>
                <w:sz w:val="28"/>
              </w:rPr>
              <w:t>审批意见：</w:t>
            </w: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ind w:firstLine="7000" w:firstLineChars="2500"/>
              <w:jc w:val="left"/>
              <w:rPr>
                <w:rFonts w:hint="default" w:ascii="Times New Roman" w:hAnsi="Times New Roman" w:cs="Times New Roman"/>
                <w:color w:val="000000" w:themeColor="text1"/>
                <w:sz w:val="28"/>
                <w14:textFill>
                  <w14:solidFill>
                    <w14:schemeClr w14:val="tx1"/>
                  </w14:solidFill>
                </w14:textFill>
              </w:rPr>
            </w:pPr>
            <w:r>
              <w:rPr>
                <w:rFonts w:hint="default" w:ascii="Times New Roman" w:hAnsi="Times New Roman" w:cs="Times New Roman"/>
                <w:color w:val="000000" w:themeColor="text1"/>
                <w:sz w:val="28"/>
                <w14:textFill>
                  <w14:solidFill>
                    <w14:schemeClr w14:val="tx1"/>
                  </w14:solidFill>
                </w14:textFill>
              </w:rPr>
              <w:t>公   章</w:t>
            </w:r>
          </w:p>
          <w:p>
            <w:pPr>
              <w:spacing w:line="240" w:lineRule="auto"/>
              <w:ind w:firstLine="560"/>
              <w:jc w:val="left"/>
              <w:rPr>
                <w:rFonts w:hint="default" w:ascii="Times New Roman" w:hAnsi="Times New Roman" w:cs="Times New Roman"/>
                <w:color w:val="000000" w:themeColor="text1"/>
                <w:sz w:val="28"/>
                <w14:textFill>
                  <w14:solidFill>
                    <w14:schemeClr w14:val="tx1"/>
                  </w14:solidFill>
                </w14:textFill>
              </w:rPr>
            </w:pPr>
          </w:p>
          <w:p>
            <w:pPr>
              <w:spacing w:line="240" w:lineRule="auto"/>
              <w:ind w:firstLine="560"/>
              <w:jc w:val="left"/>
              <w:rPr>
                <w:rFonts w:hint="default" w:ascii="Times New Roman" w:hAnsi="Times New Roman" w:cs="Times New Roman"/>
                <w:color w:val="000000" w:themeColor="text1"/>
                <w:sz w:val="28"/>
                <w14:textFill>
                  <w14:solidFill>
                    <w14:schemeClr w14:val="tx1"/>
                  </w14:solidFill>
                </w14:textFill>
              </w:rPr>
            </w:pPr>
          </w:p>
          <w:p>
            <w:pPr>
              <w:spacing w:line="240" w:lineRule="auto"/>
              <w:ind w:firstLine="560"/>
              <w:jc w:val="left"/>
              <w:rPr>
                <w:rFonts w:hint="default" w:ascii="Times New Roman" w:hAnsi="Times New Roman" w:cs="Times New Roman"/>
                <w:color w:val="000000" w:themeColor="text1"/>
                <w:sz w:val="28"/>
                <w14:textFill>
                  <w14:solidFill>
                    <w14:schemeClr w14:val="tx1"/>
                  </w14:solidFill>
                </w14:textFill>
              </w:rPr>
            </w:pPr>
          </w:p>
          <w:p>
            <w:pPr>
              <w:spacing w:line="240" w:lineRule="auto"/>
              <w:ind w:firstLine="560"/>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p>
          <w:p>
            <w:pPr>
              <w:spacing w:line="240" w:lineRule="auto"/>
              <w:jc w:val="left"/>
              <w:rPr>
                <w:rFonts w:hint="default" w:ascii="Times New Roman" w:hAnsi="Times New Roman" w:cs="Times New Roman"/>
                <w:color w:val="000000" w:themeColor="text1"/>
                <w:sz w:val="28"/>
                <w14:textFill>
                  <w14:solidFill>
                    <w14:schemeClr w14:val="tx1"/>
                  </w14:solidFill>
                </w14:textFill>
              </w:rPr>
            </w:pPr>
            <w:r>
              <w:rPr>
                <w:rFonts w:hint="default" w:ascii="Times New Roman" w:hAnsi="Times New Roman" w:cs="Times New Roman"/>
                <w:color w:val="000000" w:themeColor="text1"/>
                <w:sz w:val="28"/>
                <w14:textFill>
                  <w14:solidFill>
                    <w14:schemeClr w14:val="tx1"/>
                  </w14:solidFill>
                </w14:textFill>
              </w:rPr>
              <w:t>经办人：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9" w:type="dxa"/>
          </w:tcPr>
          <w:p>
            <w:pPr>
              <w:ind w:firstLine="560"/>
              <w:jc w:val="cente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注        释</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一、本报告表应附以下附件、附图：</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附图1项目地理位置图</w:t>
            </w:r>
          </w:p>
          <w:p>
            <w:pPr>
              <w:ind w:firstLine="560"/>
              <w:rPr>
                <w:rFonts w:hint="default" w:ascii="Times New Roman" w:hAnsi="Times New Roman" w:cs="Times New Roman"/>
                <w:color w:val="000000" w:themeColor="text1"/>
                <w:sz w:val="28"/>
                <w:szCs w:val="28"/>
                <w:highlight w:val="red"/>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附图2厂区周边关系图</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附图3厂区平面布置图</w:t>
            </w:r>
          </w:p>
          <w:p>
            <w:pPr>
              <w:ind w:firstLine="56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cs="Times New Roman"/>
                <w:color w:val="000000" w:themeColor="text1"/>
                <w:sz w:val="28"/>
                <w:szCs w:val="28"/>
                <w:lang w:eastAsia="zh-CN"/>
                <w14:textFill>
                  <w14:solidFill>
                    <w14:schemeClr w14:val="tx1"/>
                  </w14:solidFill>
                </w14:textFill>
              </w:rPr>
              <w:t>附图</w:t>
            </w:r>
            <w:r>
              <w:rPr>
                <w:rFonts w:hint="eastAsia" w:cs="Times New Roman"/>
                <w:color w:val="000000" w:themeColor="text1"/>
                <w:sz w:val="28"/>
                <w:szCs w:val="28"/>
                <w:lang w:val="en-US" w:eastAsia="zh-CN"/>
                <w14:textFill>
                  <w14:solidFill>
                    <w14:schemeClr w14:val="tx1"/>
                  </w14:solidFill>
                </w14:textFill>
              </w:rPr>
              <w:t>4闵昌工业园区规划图</w:t>
            </w:r>
          </w:p>
          <w:p>
            <w:pPr>
              <w:ind w:firstLine="560"/>
              <w:rPr>
                <w:rFonts w:hint="default" w:ascii="Times New Roman" w:hAnsi="Times New Roman" w:eastAsia="宋体" w:cs="Times New Roman"/>
                <w:color w:val="000000" w:themeColor="text1"/>
                <w:sz w:val="28"/>
                <w:szCs w:val="28"/>
                <w:lang w:val="en-US" w:eastAsia="zh-CN"/>
                <w14:textFill>
                  <w14:solidFill>
                    <w14:schemeClr w14:val="tx1"/>
                  </w14:solidFill>
                </w14:textFill>
              </w:rPr>
            </w:pPr>
            <w:r>
              <w:rPr>
                <w:rFonts w:hint="eastAsia" w:cs="Times New Roman"/>
                <w:color w:val="000000" w:themeColor="text1"/>
                <w:sz w:val="28"/>
                <w:szCs w:val="28"/>
                <w:lang w:eastAsia="zh-CN"/>
                <w14:textFill>
                  <w14:solidFill>
                    <w14:schemeClr w14:val="tx1"/>
                  </w14:solidFill>
                </w14:textFill>
              </w:rPr>
              <w:t>附图</w:t>
            </w:r>
            <w:r>
              <w:rPr>
                <w:rFonts w:hint="eastAsia" w:cs="Times New Roman"/>
                <w:color w:val="000000" w:themeColor="text1"/>
                <w:sz w:val="28"/>
                <w:szCs w:val="28"/>
                <w:lang w:val="en-US" w:eastAsia="zh-CN"/>
                <w14:textFill>
                  <w14:solidFill>
                    <w14:schemeClr w14:val="tx1"/>
                  </w14:solidFill>
                </w14:textFill>
              </w:rPr>
              <w:t>5噪声监测点位图</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附件1项目委托书</w:t>
            </w:r>
          </w:p>
          <w:p>
            <w:pPr>
              <w:ind w:firstLine="560"/>
              <w:rPr>
                <w:rFonts w:hint="default" w:ascii="Times New Roman" w:hAnsi="Times New Roman" w:cs="Times New Roman"/>
                <w:color w:val="000000" w:themeColor="text1"/>
                <w:sz w:val="28"/>
                <w:szCs w:val="28"/>
                <w:highlight w:val="red"/>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附件2营业执照</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附件3项目现状环境监测数据</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二、如果本报告表不能说明项目产生的污染及对环境造成的影响，应进行专项评价。根据建设项目的特点和当地环境特征，应选下列1-2项进行专项评价。</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1、大气环境影响专项评价</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2、水环境影响专项评价（包括地表水和地下水）</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3、生态影响专项评价</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4、声影响专项评价</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5、土壤影响专项评价</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6、固体废弃物影响专项评价</w:t>
            </w:r>
          </w:p>
          <w:p>
            <w:pPr>
              <w:ind w:firstLine="560"/>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以上专项评价未包括的可另列专项，专项评价按照《环境影响评价技术导则》中的要求进行。</w:t>
            </w:r>
          </w:p>
          <w:p>
            <w:pPr>
              <w:ind w:firstLine="560"/>
              <w:rPr>
                <w:rFonts w:hint="default" w:ascii="Times New Roman" w:hAnsi="Times New Roman" w:cs="Times New Roman"/>
                <w:color w:val="000000" w:themeColor="text1"/>
                <w:sz w:val="28"/>
                <w:szCs w:val="28"/>
                <w14:textFill>
                  <w14:solidFill>
                    <w14:schemeClr w14:val="tx1"/>
                  </w14:solidFill>
                </w14:textFill>
              </w:rPr>
            </w:pPr>
          </w:p>
          <w:p>
            <w:pPr>
              <w:ind w:firstLine="560"/>
              <w:rPr>
                <w:rFonts w:hint="default" w:ascii="Times New Roman" w:hAnsi="Times New Roman" w:cs="Times New Roman"/>
                <w:color w:val="000000" w:themeColor="text1"/>
                <w:sz w:val="28"/>
                <w:szCs w:val="28"/>
                <w14:textFill>
                  <w14:solidFill>
                    <w14:schemeClr w14:val="tx1"/>
                  </w14:solidFill>
                </w14:textFill>
              </w:rPr>
            </w:pPr>
          </w:p>
          <w:p>
            <w:pPr>
              <w:spacing w:line="240" w:lineRule="auto"/>
              <w:rPr>
                <w:rFonts w:hint="default" w:ascii="Times New Roman" w:hAnsi="Times New Roman" w:cs="Times New Roman"/>
                <w:b/>
                <w:sz w:val="28"/>
              </w:rPr>
            </w:pPr>
          </w:p>
          <w:p>
            <w:pPr>
              <w:spacing w:line="240" w:lineRule="auto"/>
              <w:rPr>
                <w:rFonts w:hint="default" w:ascii="Times New Roman" w:hAnsi="Times New Roman" w:cs="Times New Roman"/>
                <w:b/>
                <w:sz w:val="28"/>
              </w:rPr>
            </w:pPr>
          </w:p>
          <w:p>
            <w:pPr>
              <w:spacing w:line="240" w:lineRule="auto"/>
              <w:rPr>
                <w:rFonts w:hint="default" w:ascii="Times New Roman" w:hAnsi="Times New Roman" w:cs="Times New Roman"/>
                <w:b/>
                <w:sz w:val="28"/>
              </w:rPr>
            </w:pPr>
          </w:p>
        </w:tc>
      </w:tr>
    </w:tbl>
    <w:p>
      <w:pPr>
        <w:tabs>
          <w:tab w:val="left" w:pos="1265"/>
        </w:tabs>
        <w:rPr>
          <w:rFonts w:hint="default" w:ascii="Times New Roman" w:hAnsi="Times New Roman" w:cs="Times New Roman"/>
        </w:rPr>
        <w:sectPr>
          <w:headerReference r:id="rId4" w:type="default"/>
          <w:footerReference r:id="rId5" w:type="default"/>
          <w:pgSz w:w="12240" w:h="15840"/>
          <w:pgMar w:top="1440" w:right="1800" w:bottom="1440" w:left="1800" w:header="708" w:footer="708" w:gutter="0"/>
          <w:pgNumType w:start="1"/>
          <w:cols w:space="708" w:num="1"/>
          <w:docGrid w:linePitch="360" w:charSpace="0"/>
        </w:sectPr>
      </w:pPr>
    </w:p>
    <w:p>
      <w:pPr>
        <w:jc w:val="both"/>
        <w:rPr>
          <w:rFonts w:hint="default" w:ascii="Times New Roman" w:hAnsi="Times New Roman" w:cs="Times New Roman"/>
          <w:b/>
          <w:sz w:val="32"/>
        </w:rPr>
      </w:pPr>
    </w:p>
    <w:sectPr>
      <w:headerReference r:id="rId6" w:type="default"/>
      <w:footerReference r:id="rId7" w:type="default"/>
      <w:pgSz w:w="23811" w:h="16838" w:orient="landscape"/>
      <w:pgMar w:top="1800" w:right="1440" w:bottom="180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Arial Unicode MS"/>
    <w:panose1 w:val="00000000000000000000"/>
    <w:charset w:val="86"/>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1802499"/>
      <w:docPartObj>
        <w:docPartGallery w:val="autotext"/>
      </w:docPartObj>
    </w:sdtPr>
    <w:sdtContent>
      <w:p>
        <w:pPr>
          <w:pStyle w:val="11"/>
          <w:jc w:val="center"/>
        </w:pPr>
        <w:r>
          <w:fldChar w:fldCharType="begin"/>
        </w:r>
        <w:r>
          <w:instrText xml:space="preserve">PAGE   \* MERGEFORMAT</w:instrText>
        </w:r>
        <w:r>
          <w:fldChar w:fldCharType="separate"/>
        </w:r>
        <w:r>
          <w:rPr>
            <w:lang w:val="zh-CN"/>
          </w:rPr>
          <w:t>30</w:t>
        </w:r>
        <w:r>
          <w:fldChar w:fldCharType="end"/>
        </w:r>
      </w:p>
    </w:sdtContent>
  </w:sdt>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昌吉市新方金食品包装有限公司HDPE塑料制品项目环境影响评价报告表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6ACCB"/>
    <w:multiLevelType w:val="singleLevel"/>
    <w:tmpl w:val="2576ACC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3AE"/>
    <w:rsid w:val="00000D14"/>
    <w:rsid w:val="00013451"/>
    <w:rsid w:val="00016AAA"/>
    <w:rsid w:val="00017E71"/>
    <w:rsid w:val="00020FEB"/>
    <w:rsid w:val="000212C7"/>
    <w:rsid w:val="000221D8"/>
    <w:rsid w:val="00023FD7"/>
    <w:rsid w:val="000303E9"/>
    <w:rsid w:val="00032460"/>
    <w:rsid w:val="00034DA7"/>
    <w:rsid w:val="0003656D"/>
    <w:rsid w:val="00036BFB"/>
    <w:rsid w:val="00036F96"/>
    <w:rsid w:val="00037BC6"/>
    <w:rsid w:val="00040053"/>
    <w:rsid w:val="0004173E"/>
    <w:rsid w:val="00042D94"/>
    <w:rsid w:val="000439B1"/>
    <w:rsid w:val="00046929"/>
    <w:rsid w:val="000476B0"/>
    <w:rsid w:val="00050FA0"/>
    <w:rsid w:val="00051090"/>
    <w:rsid w:val="0005139D"/>
    <w:rsid w:val="00053824"/>
    <w:rsid w:val="00053A78"/>
    <w:rsid w:val="000565E2"/>
    <w:rsid w:val="00056778"/>
    <w:rsid w:val="0006019C"/>
    <w:rsid w:val="00061520"/>
    <w:rsid w:val="00063014"/>
    <w:rsid w:val="00075CFB"/>
    <w:rsid w:val="00077058"/>
    <w:rsid w:val="000776D3"/>
    <w:rsid w:val="0007798C"/>
    <w:rsid w:val="000834EF"/>
    <w:rsid w:val="000856A9"/>
    <w:rsid w:val="00092D66"/>
    <w:rsid w:val="00093B2A"/>
    <w:rsid w:val="00093D6E"/>
    <w:rsid w:val="0009779B"/>
    <w:rsid w:val="000A7212"/>
    <w:rsid w:val="000B0723"/>
    <w:rsid w:val="000B0FA5"/>
    <w:rsid w:val="000B1260"/>
    <w:rsid w:val="000B45DB"/>
    <w:rsid w:val="000B6F08"/>
    <w:rsid w:val="000B7749"/>
    <w:rsid w:val="000B7FAE"/>
    <w:rsid w:val="000C0C8A"/>
    <w:rsid w:val="000C3DFA"/>
    <w:rsid w:val="000C558A"/>
    <w:rsid w:val="000E0F91"/>
    <w:rsid w:val="000E2473"/>
    <w:rsid w:val="000E352B"/>
    <w:rsid w:val="000E4601"/>
    <w:rsid w:val="000E5075"/>
    <w:rsid w:val="000F2F92"/>
    <w:rsid w:val="000F3369"/>
    <w:rsid w:val="000F5AC4"/>
    <w:rsid w:val="000F6CBE"/>
    <w:rsid w:val="000F7A86"/>
    <w:rsid w:val="0010106D"/>
    <w:rsid w:val="0010190A"/>
    <w:rsid w:val="00103C6D"/>
    <w:rsid w:val="00104357"/>
    <w:rsid w:val="001072FF"/>
    <w:rsid w:val="00116201"/>
    <w:rsid w:val="00120FB0"/>
    <w:rsid w:val="00122454"/>
    <w:rsid w:val="00126CCB"/>
    <w:rsid w:val="00127388"/>
    <w:rsid w:val="0013007D"/>
    <w:rsid w:val="00130BD5"/>
    <w:rsid w:val="001339C0"/>
    <w:rsid w:val="00134655"/>
    <w:rsid w:val="001365CB"/>
    <w:rsid w:val="001419E8"/>
    <w:rsid w:val="00142392"/>
    <w:rsid w:val="00142C2F"/>
    <w:rsid w:val="00143062"/>
    <w:rsid w:val="00144CC4"/>
    <w:rsid w:val="001452E9"/>
    <w:rsid w:val="001469E0"/>
    <w:rsid w:val="001523A8"/>
    <w:rsid w:val="00153D61"/>
    <w:rsid w:val="001544F0"/>
    <w:rsid w:val="001554B3"/>
    <w:rsid w:val="001561B7"/>
    <w:rsid w:val="00156332"/>
    <w:rsid w:val="00160BA0"/>
    <w:rsid w:val="00164689"/>
    <w:rsid w:val="00172257"/>
    <w:rsid w:val="00172B22"/>
    <w:rsid w:val="00173472"/>
    <w:rsid w:val="00174940"/>
    <w:rsid w:val="00183510"/>
    <w:rsid w:val="00183FFC"/>
    <w:rsid w:val="0018686A"/>
    <w:rsid w:val="00190480"/>
    <w:rsid w:val="0019230A"/>
    <w:rsid w:val="001944DC"/>
    <w:rsid w:val="00194617"/>
    <w:rsid w:val="00194DB4"/>
    <w:rsid w:val="0019661B"/>
    <w:rsid w:val="00196FC9"/>
    <w:rsid w:val="00197ECB"/>
    <w:rsid w:val="001A035E"/>
    <w:rsid w:val="001A5999"/>
    <w:rsid w:val="001A72CB"/>
    <w:rsid w:val="001B0E52"/>
    <w:rsid w:val="001B1674"/>
    <w:rsid w:val="001B500E"/>
    <w:rsid w:val="001B6361"/>
    <w:rsid w:val="001B6825"/>
    <w:rsid w:val="001B728D"/>
    <w:rsid w:val="001B7E02"/>
    <w:rsid w:val="001C11E7"/>
    <w:rsid w:val="001C2E36"/>
    <w:rsid w:val="001C43C9"/>
    <w:rsid w:val="001C46C4"/>
    <w:rsid w:val="001C4A4A"/>
    <w:rsid w:val="001C5E84"/>
    <w:rsid w:val="001C666D"/>
    <w:rsid w:val="001C67CA"/>
    <w:rsid w:val="001D0AA2"/>
    <w:rsid w:val="001D3003"/>
    <w:rsid w:val="001D771F"/>
    <w:rsid w:val="001D7C7C"/>
    <w:rsid w:val="001E0BFA"/>
    <w:rsid w:val="001E20DA"/>
    <w:rsid w:val="001E23C4"/>
    <w:rsid w:val="001E66E1"/>
    <w:rsid w:val="001F5B50"/>
    <w:rsid w:val="001F6A25"/>
    <w:rsid w:val="00201AAE"/>
    <w:rsid w:val="00201B5C"/>
    <w:rsid w:val="002101AF"/>
    <w:rsid w:val="00217B0A"/>
    <w:rsid w:val="002200A7"/>
    <w:rsid w:val="0022505E"/>
    <w:rsid w:val="00232E47"/>
    <w:rsid w:val="002347D1"/>
    <w:rsid w:val="00241BBE"/>
    <w:rsid w:val="0024273D"/>
    <w:rsid w:val="0024522F"/>
    <w:rsid w:val="00245468"/>
    <w:rsid w:val="00247C33"/>
    <w:rsid w:val="00250F52"/>
    <w:rsid w:val="00251B44"/>
    <w:rsid w:val="002527B3"/>
    <w:rsid w:val="002536F1"/>
    <w:rsid w:val="002552F7"/>
    <w:rsid w:val="00256186"/>
    <w:rsid w:val="00256565"/>
    <w:rsid w:val="0026294A"/>
    <w:rsid w:val="00262AEB"/>
    <w:rsid w:val="002643E0"/>
    <w:rsid w:val="00265495"/>
    <w:rsid w:val="00270E3A"/>
    <w:rsid w:val="00277504"/>
    <w:rsid w:val="002775DD"/>
    <w:rsid w:val="00281609"/>
    <w:rsid w:val="002855C2"/>
    <w:rsid w:val="00285C09"/>
    <w:rsid w:val="00292E85"/>
    <w:rsid w:val="00293E8C"/>
    <w:rsid w:val="00294775"/>
    <w:rsid w:val="002A10A8"/>
    <w:rsid w:val="002A1CDA"/>
    <w:rsid w:val="002A2B4F"/>
    <w:rsid w:val="002A4939"/>
    <w:rsid w:val="002A54C4"/>
    <w:rsid w:val="002A6931"/>
    <w:rsid w:val="002A7C17"/>
    <w:rsid w:val="002B04F2"/>
    <w:rsid w:val="002B24C3"/>
    <w:rsid w:val="002B27D2"/>
    <w:rsid w:val="002B2F59"/>
    <w:rsid w:val="002B2FD3"/>
    <w:rsid w:val="002B7201"/>
    <w:rsid w:val="002C02EC"/>
    <w:rsid w:val="002C2C40"/>
    <w:rsid w:val="002D36E9"/>
    <w:rsid w:val="002D7F60"/>
    <w:rsid w:val="002E1D37"/>
    <w:rsid w:val="002E53DC"/>
    <w:rsid w:val="002E59DA"/>
    <w:rsid w:val="002F061C"/>
    <w:rsid w:val="002F1122"/>
    <w:rsid w:val="002F1CE4"/>
    <w:rsid w:val="002F21B8"/>
    <w:rsid w:val="002F521E"/>
    <w:rsid w:val="0030115A"/>
    <w:rsid w:val="00301649"/>
    <w:rsid w:val="003058A3"/>
    <w:rsid w:val="00305F83"/>
    <w:rsid w:val="0030685B"/>
    <w:rsid w:val="00307FDC"/>
    <w:rsid w:val="00311A73"/>
    <w:rsid w:val="00313961"/>
    <w:rsid w:val="00313A2E"/>
    <w:rsid w:val="0031435F"/>
    <w:rsid w:val="0032088C"/>
    <w:rsid w:val="003318D0"/>
    <w:rsid w:val="00332AB3"/>
    <w:rsid w:val="003344A0"/>
    <w:rsid w:val="0033474C"/>
    <w:rsid w:val="00334F4E"/>
    <w:rsid w:val="00340974"/>
    <w:rsid w:val="00341D8A"/>
    <w:rsid w:val="00343DA2"/>
    <w:rsid w:val="003457D2"/>
    <w:rsid w:val="00345E19"/>
    <w:rsid w:val="00347E8D"/>
    <w:rsid w:val="00352232"/>
    <w:rsid w:val="003567CF"/>
    <w:rsid w:val="00356991"/>
    <w:rsid w:val="00360742"/>
    <w:rsid w:val="00367173"/>
    <w:rsid w:val="0036778C"/>
    <w:rsid w:val="0037116B"/>
    <w:rsid w:val="00372EC2"/>
    <w:rsid w:val="00374C0F"/>
    <w:rsid w:val="00383006"/>
    <w:rsid w:val="00383068"/>
    <w:rsid w:val="00390DEC"/>
    <w:rsid w:val="00390F18"/>
    <w:rsid w:val="00391EE0"/>
    <w:rsid w:val="0039225A"/>
    <w:rsid w:val="003959B6"/>
    <w:rsid w:val="00395FDB"/>
    <w:rsid w:val="003973CF"/>
    <w:rsid w:val="003A14AE"/>
    <w:rsid w:val="003A23D9"/>
    <w:rsid w:val="003A70BF"/>
    <w:rsid w:val="003A7D87"/>
    <w:rsid w:val="003B06A0"/>
    <w:rsid w:val="003B0D51"/>
    <w:rsid w:val="003C46EC"/>
    <w:rsid w:val="003C560F"/>
    <w:rsid w:val="003D10EB"/>
    <w:rsid w:val="003D163E"/>
    <w:rsid w:val="003D416D"/>
    <w:rsid w:val="003E0058"/>
    <w:rsid w:val="003E1FC7"/>
    <w:rsid w:val="003F0056"/>
    <w:rsid w:val="003F15D8"/>
    <w:rsid w:val="003F2028"/>
    <w:rsid w:val="003F2262"/>
    <w:rsid w:val="00400DFD"/>
    <w:rsid w:val="0040174E"/>
    <w:rsid w:val="00403245"/>
    <w:rsid w:val="0040620B"/>
    <w:rsid w:val="0041490C"/>
    <w:rsid w:val="00414F9F"/>
    <w:rsid w:val="00417D27"/>
    <w:rsid w:val="00423E8A"/>
    <w:rsid w:val="004268D0"/>
    <w:rsid w:val="00436577"/>
    <w:rsid w:val="00437068"/>
    <w:rsid w:val="004378FD"/>
    <w:rsid w:val="00443248"/>
    <w:rsid w:val="00445C25"/>
    <w:rsid w:val="004504CA"/>
    <w:rsid w:val="00451D7F"/>
    <w:rsid w:val="00452B74"/>
    <w:rsid w:val="00457639"/>
    <w:rsid w:val="0046196B"/>
    <w:rsid w:val="00462860"/>
    <w:rsid w:val="004657D4"/>
    <w:rsid w:val="00466FC3"/>
    <w:rsid w:val="004675B5"/>
    <w:rsid w:val="00473795"/>
    <w:rsid w:val="00475437"/>
    <w:rsid w:val="00475662"/>
    <w:rsid w:val="004758C3"/>
    <w:rsid w:val="00477702"/>
    <w:rsid w:val="00483484"/>
    <w:rsid w:val="0048360D"/>
    <w:rsid w:val="00483C7C"/>
    <w:rsid w:val="00485B0B"/>
    <w:rsid w:val="0048636F"/>
    <w:rsid w:val="00492C05"/>
    <w:rsid w:val="004948BD"/>
    <w:rsid w:val="0049640E"/>
    <w:rsid w:val="00496EC8"/>
    <w:rsid w:val="004976BA"/>
    <w:rsid w:val="004A28B6"/>
    <w:rsid w:val="004A720D"/>
    <w:rsid w:val="004B108A"/>
    <w:rsid w:val="004B12FC"/>
    <w:rsid w:val="004B3EDB"/>
    <w:rsid w:val="004B7569"/>
    <w:rsid w:val="004C1A24"/>
    <w:rsid w:val="004C43DB"/>
    <w:rsid w:val="004C5593"/>
    <w:rsid w:val="004C56E3"/>
    <w:rsid w:val="004C5A98"/>
    <w:rsid w:val="004C5EEA"/>
    <w:rsid w:val="004C7B99"/>
    <w:rsid w:val="004D121F"/>
    <w:rsid w:val="004D31C5"/>
    <w:rsid w:val="004D42E3"/>
    <w:rsid w:val="004D5F35"/>
    <w:rsid w:val="004D6B87"/>
    <w:rsid w:val="004E083A"/>
    <w:rsid w:val="004E4951"/>
    <w:rsid w:val="004E4F3D"/>
    <w:rsid w:val="004E5AFA"/>
    <w:rsid w:val="004E73E7"/>
    <w:rsid w:val="004F0AEB"/>
    <w:rsid w:val="004F30F1"/>
    <w:rsid w:val="004F5835"/>
    <w:rsid w:val="004F602D"/>
    <w:rsid w:val="005023AD"/>
    <w:rsid w:val="005070BC"/>
    <w:rsid w:val="005113DA"/>
    <w:rsid w:val="00511811"/>
    <w:rsid w:val="00512744"/>
    <w:rsid w:val="00512BAD"/>
    <w:rsid w:val="00514042"/>
    <w:rsid w:val="00514BC6"/>
    <w:rsid w:val="00515D4B"/>
    <w:rsid w:val="00515DCF"/>
    <w:rsid w:val="00517425"/>
    <w:rsid w:val="00521538"/>
    <w:rsid w:val="005219E4"/>
    <w:rsid w:val="00523623"/>
    <w:rsid w:val="005236C8"/>
    <w:rsid w:val="00523872"/>
    <w:rsid w:val="005279AE"/>
    <w:rsid w:val="00527C20"/>
    <w:rsid w:val="005317DF"/>
    <w:rsid w:val="00533518"/>
    <w:rsid w:val="005345DA"/>
    <w:rsid w:val="0053508A"/>
    <w:rsid w:val="0054597B"/>
    <w:rsid w:val="005470B5"/>
    <w:rsid w:val="00547AC1"/>
    <w:rsid w:val="00550458"/>
    <w:rsid w:val="005514BD"/>
    <w:rsid w:val="00551FD3"/>
    <w:rsid w:val="00560A6D"/>
    <w:rsid w:val="00561C6B"/>
    <w:rsid w:val="005625B9"/>
    <w:rsid w:val="005627AE"/>
    <w:rsid w:val="00576457"/>
    <w:rsid w:val="005772E4"/>
    <w:rsid w:val="0057786E"/>
    <w:rsid w:val="00580864"/>
    <w:rsid w:val="00582847"/>
    <w:rsid w:val="0058383D"/>
    <w:rsid w:val="00583DFA"/>
    <w:rsid w:val="00584563"/>
    <w:rsid w:val="00586589"/>
    <w:rsid w:val="00587568"/>
    <w:rsid w:val="00587702"/>
    <w:rsid w:val="005974D8"/>
    <w:rsid w:val="005A0196"/>
    <w:rsid w:val="005A792B"/>
    <w:rsid w:val="005B30E9"/>
    <w:rsid w:val="005B6A64"/>
    <w:rsid w:val="005C0752"/>
    <w:rsid w:val="005C08ED"/>
    <w:rsid w:val="005C0C73"/>
    <w:rsid w:val="005C5826"/>
    <w:rsid w:val="005C684B"/>
    <w:rsid w:val="005C76A2"/>
    <w:rsid w:val="005D07BE"/>
    <w:rsid w:val="005D1D8E"/>
    <w:rsid w:val="005D2257"/>
    <w:rsid w:val="005D4CAD"/>
    <w:rsid w:val="005D55B9"/>
    <w:rsid w:val="005D6529"/>
    <w:rsid w:val="005D74E4"/>
    <w:rsid w:val="005E29A6"/>
    <w:rsid w:val="005E35A5"/>
    <w:rsid w:val="005E368E"/>
    <w:rsid w:val="005E3B82"/>
    <w:rsid w:val="005E6537"/>
    <w:rsid w:val="005F2F8D"/>
    <w:rsid w:val="00600041"/>
    <w:rsid w:val="006008D4"/>
    <w:rsid w:val="0060114A"/>
    <w:rsid w:val="00603405"/>
    <w:rsid w:val="00603706"/>
    <w:rsid w:val="006056BB"/>
    <w:rsid w:val="006059A0"/>
    <w:rsid w:val="00610145"/>
    <w:rsid w:val="006106C8"/>
    <w:rsid w:val="00610A1A"/>
    <w:rsid w:val="0061103A"/>
    <w:rsid w:val="0061443E"/>
    <w:rsid w:val="00614ADC"/>
    <w:rsid w:val="006155BD"/>
    <w:rsid w:val="00617B41"/>
    <w:rsid w:val="00632190"/>
    <w:rsid w:val="00634378"/>
    <w:rsid w:val="006353AE"/>
    <w:rsid w:val="0063559C"/>
    <w:rsid w:val="00635CC0"/>
    <w:rsid w:val="00637FC5"/>
    <w:rsid w:val="00641008"/>
    <w:rsid w:val="00646497"/>
    <w:rsid w:val="0064694C"/>
    <w:rsid w:val="006473B7"/>
    <w:rsid w:val="00654F14"/>
    <w:rsid w:val="00655917"/>
    <w:rsid w:val="00656133"/>
    <w:rsid w:val="006568D1"/>
    <w:rsid w:val="00656A3D"/>
    <w:rsid w:val="00661677"/>
    <w:rsid w:val="006702B8"/>
    <w:rsid w:val="00670686"/>
    <w:rsid w:val="00671784"/>
    <w:rsid w:val="00674C62"/>
    <w:rsid w:val="00674E29"/>
    <w:rsid w:val="006759D5"/>
    <w:rsid w:val="00682943"/>
    <w:rsid w:val="0068295A"/>
    <w:rsid w:val="00682AF6"/>
    <w:rsid w:val="006833E2"/>
    <w:rsid w:val="006835F3"/>
    <w:rsid w:val="00683904"/>
    <w:rsid w:val="006859C0"/>
    <w:rsid w:val="00685A69"/>
    <w:rsid w:val="006914D2"/>
    <w:rsid w:val="00691942"/>
    <w:rsid w:val="006970B9"/>
    <w:rsid w:val="0069734A"/>
    <w:rsid w:val="006A1983"/>
    <w:rsid w:val="006A19E7"/>
    <w:rsid w:val="006A3AA2"/>
    <w:rsid w:val="006A7403"/>
    <w:rsid w:val="006B190E"/>
    <w:rsid w:val="006B5822"/>
    <w:rsid w:val="006B5BCF"/>
    <w:rsid w:val="006C473F"/>
    <w:rsid w:val="006C4C5C"/>
    <w:rsid w:val="006C4E63"/>
    <w:rsid w:val="006C51C8"/>
    <w:rsid w:val="006C7B13"/>
    <w:rsid w:val="006D1C4D"/>
    <w:rsid w:val="006D2144"/>
    <w:rsid w:val="006D518F"/>
    <w:rsid w:val="006D7CF1"/>
    <w:rsid w:val="006E0959"/>
    <w:rsid w:val="006E1EC0"/>
    <w:rsid w:val="006E253F"/>
    <w:rsid w:val="006E472D"/>
    <w:rsid w:val="006E48FC"/>
    <w:rsid w:val="006E7C84"/>
    <w:rsid w:val="006F4944"/>
    <w:rsid w:val="006F5617"/>
    <w:rsid w:val="006F5E66"/>
    <w:rsid w:val="006F6511"/>
    <w:rsid w:val="00703843"/>
    <w:rsid w:val="007040A8"/>
    <w:rsid w:val="00704A23"/>
    <w:rsid w:val="00704EFE"/>
    <w:rsid w:val="007128B9"/>
    <w:rsid w:val="00717EF9"/>
    <w:rsid w:val="00720C62"/>
    <w:rsid w:val="00721B06"/>
    <w:rsid w:val="007229BE"/>
    <w:rsid w:val="00733A5B"/>
    <w:rsid w:val="0073418A"/>
    <w:rsid w:val="0073459B"/>
    <w:rsid w:val="00734925"/>
    <w:rsid w:val="00734B0E"/>
    <w:rsid w:val="00734DA3"/>
    <w:rsid w:val="00741ED4"/>
    <w:rsid w:val="00747C3D"/>
    <w:rsid w:val="007563F7"/>
    <w:rsid w:val="007564AA"/>
    <w:rsid w:val="00756AAC"/>
    <w:rsid w:val="007603D2"/>
    <w:rsid w:val="00760EDF"/>
    <w:rsid w:val="00762100"/>
    <w:rsid w:val="0076298C"/>
    <w:rsid w:val="00762DBA"/>
    <w:rsid w:val="00764DD8"/>
    <w:rsid w:val="00765746"/>
    <w:rsid w:val="00766E47"/>
    <w:rsid w:val="00767F80"/>
    <w:rsid w:val="0077037D"/>
    <w:rsid w:val="00771166"/>
    <w:rsid w:val="00772351"/>
    <w:rsid w:val="007734CA"/>
    <w:rsid w:val="00776608"/>
    <w:rsid w:val="0078261E"/>
    <w:rsid w:val="00782AF8"/>
    <w:rsid w:val="00784691"/>
    <w:rsid w:val="00784B40"/>
    <w:rsid w:val="00786420"/>
    <w:rsid w:val="007870B3"/>
    <w:rsid w:val="00787AB4"/>
    <w:rsid w:val="007978AC"/>
    <w:rsid w:val="007A2B65"/>
    <w:rsid w:val="007A362B"/>
    <w:rsid w:val="007A54D2"/>
    <w:rsid w:val="007A7EF2"/>
    <w:rsid w:val="007B1A69"/>
    <w:rsid w:val="007B27A5"/>
    <w:rsid w:val="007B5456"/>
    <w:rsid w:val="007B5F4E"/>
    <w:rsid w:val="007B7423"/>
    <w:rsid w:val="007C3DE2"/>
    <w:rsid w:val="007C5367"/>
    <w:rsid w:val="007C5B9A"/>
    <w:rsid w:val="007D1215"/>
    <w:rsid w:val="007D15D0"/>
    <w:rsid w:val="007D589E"/>
    <w:rsid w:val="007D66EF"/>
    <w:rsid w:val="007E342D"/>
    <w:rsid w:val="007E4DFF"/>
    <w:rsid w:val="007E584D"/>
    <w:rsid w:val="007E61FC"/>
    <w:rsid w:val="007E78E9"/>
    <w:rsid w:val="007E7DF8"/>
    <w:rsid w:val="007F1532"/>
    <w:rsid w:val="007F2F8D"/>
    <w:rsid w:val="007F4095"/>
    <w:rsid w:val="007F58C7"/>
    <w:rsid w:val="007F5D92"/>
    <w:rsid w:val="00801283"/>
    <w:rsid w:val="008069A2"/>
    <w:rsid w:val="00810FD3"/>
    <w:rsid w:val="00811E15"/>
    <w:rsid w:val="0081471A"/>
    <w:rsid w:val="008217FB"/>
    <w:rsid w:val="008229F6"/>
    <w:rsid w:val="008255BD"/>
    <w:rsid w:val="00830219"/>
    <w:rsid w:val="00831872"/>
    <w:rsid w:val="0083205A"/>
    <w:rsid w:val="00833674"/>
    <w:rsid w:val="00842B6A"/>
    <w:rsid w:val="008467E6"/>
    <w:rsid w:val="008470C9"/>
    <w:rsid w:val="00851E88"/>
    <w:rsid w:val="00852B89"/>
    <w:rsid w:val="00852C3F"/>
    <w:rsid w:val="00853756"/>
    <w:rsid w:val="0085502C"/>
    <w:rsid w:val="008558B0"/>
    <w:rsid w:val="008563B6"/>
    <w:rsid w:val="00860601"/>
    <w:rsid w:val="00862A75"/>
    <w:rsid w:val="00863123"/>
    <w:rsid w:val="008634A3"/>
    <w:rsid w:val="00864AA8"/>
    <w:rsid w:val="00875385"/>
    <w:rsid w:val="00875EE2"/>
    <w:rsid w:val="00880179"/>
    <w:rsid w:val="00881989"/>
    <w:rsid w:val="0088725A"/>
    <w:rsid w:val="00887FEE"/>
    <w:rsid w:val="00890D94"/>
    <w:rsid w:val="00891C63"/>
    <w:rsid w:val="00897E4B"/>
    <w:rsid w:val="008A1F73"/>
    <w:rsid w:val="008B1037"/>
    <w:rsid w:val="008B54E4"/>
    <w:rsid w:val="008B640B"/>
    <w:rsid w:val="008C095E"/>
    <w:rsid w:val="008D20AB"/>
    <w:rsid w:val="008D309D"/>
    <w:rsid w:val="008D53F1"/>
    <w:rsid w:val="008E08A1"/>
    <w:rsid w:val="008E09D6"/>
    <w:rsid w:val="008E16B2"/>
    <w:rsid w:val="008E38E3"/>
    <w:rsid w:val="008E4651"/>
    <w:rsid w:val="008E4C3F"/>
    <w:rsid w:val="008E5CE0"/>
    <w:rsid w:val="008E65E2"/>
    <w:rsid w:val="008E7DC5"/>
    <w:rsid w:val="008F009A"/>
    <w:rsid w:val="008F06EE"/>
    <w:rsid w:val="008F2FB5"/>
    <w:rsid w:val="008F3C49"/>
    <w:rsid w:val="008F651E"/>
    <w:rsid w:val="008F71E3"/>
    <w:rsid w:val="008F786B"/>
    <w:rsid w:val="00900EAC"/>
    <w:rsid w:val="00902088"/>
    <w:rsid w:val="00902360"/>
    <w:rsid w:val="009043B9"/>
    <w:rsid w:val="009046B4"/>
    <w:rsid w:val="00912F77"/>
    <w:rsid w:val="00914473"/>
    <w:rsid w:val="00916A53"/>
    <w:rsid w:val="009179FA"/>
    <w:rsid w:val="00920ADD"/>
    <w:rsid w:val="00923A85"/>
    <w:rsid w:val="009246C2"/>
    <w:rsid w:val="00926D83"/>
    <w:rsid w:val="00934A3E"/>
    <w:rsid w:val="00935AD9"/>
    <w:rsid w:val="00936006"/>
    <w:rsid w:val="00936059"/>
    <w:rsid w:val="00943745"/>
    <w:rsid w:val="00943D85"/>
    <w:rsid w:val="00944377"/>
    <w:rsid w:val="009455C5"/>
    <w:rsid w:val="00946378"/>
    <w:rsid w:val="00947183"/>
    <w:rsid w:val="00947A1B"/>
    <w:rsid w:val="009565D3"/>
    <w:rsid w:val="00963ACC"/>
    <w:rsid w:val="00971059"/>
    <w:rsid w:val="00972717"/>
    <w:rsid w:val="0097396A"/>
    <w:rsid w:val="00975D90"/>
    <w:rsid w:val="00981F63"/>
    <w:rsid w:val="00982C40"/>
    <w:rsid w:val="00984BE3"/>
    <w:rsid w:val="0099068C"/>
    <w:rsid w:val="00991DEC"/>
    <w:rsid w:val="009952F8"/>
    <w:rsid w:val="00997B38"/>
    <w:rsid w:val="009A27A5"/>
    <w:rsid w:val="009A31E9"/>
    <w:rsid w:val="009A4397"/>
    <w:rsid w:val="009A4A92"/>
    <w:rsid w:val="009A4DB0"/>
    <w:rsid w:val="009B18EF"/>
    <w:rsid w:val="009B2B68"/>
    <w:rsid w:val="009B3185"/>
    <w:rsid w:val="009B6176"/>
    <w:rsid w:val="009B71B4"/>
    <w:rsid w:val="009C144F"/>
    <w:rsid w:val="009C2EBA"/>
    <w:rsid w:val="009D2CEA"/>
    <w:rsid w:val="009D4719"/>
    <w:rsid w:val="009D6620"/>
    <w:rsid w:val="009D770D"/>
    <w:rsid w:val="009E05F9"/>
    <w:rsid w:val="009E1AD7"/>
    <w:rsid w:val="009E31D2"/>
    <w:rsid w:val="009E5A1E"/>
    <w:rsid w:val="009E782A"/>
    <w:rsid w:val="009F2A44"/>
    <w:rsid w:val="009F3B41"/>
    <w:rsid w:val="00A03066"/>
    <w:rsid w:val="00A05481"/>
    <w:rsid w:val="00A06399"/>
    <w:rsid w:val="00A07A16"/>
    <w:rsid w:val="00A10D22"/>
    <w:rsid w:val="00A10D50"/>
    <w:rsid w:val="00A10E91"/>
    <w:rsid w:val="00A1124D"/>
    <w:rsid w:val="00A113D1"/>
    <w:rsid w:val="00A1141F"/>
    <w:rsid w:val="00A13242"/>
    <w:rsid w:val="00A164E9"/>
    <w:rsid w:val="00A23E08"/>
    <w:rsid w:val="00A23E3A"/>
    <w:rsid w:val="00A250CE"/>
    <w:rsid w:val="00A31151"/>
    <w:rsid w:val="00A31198"/>
    <w:rsid w:val="00A31F54"/>
    <w:rsid w:val="00A32AF0"/>
    <w:rsid w:val="00A33A17"/>
    <w:rsid w:val="00A3430F"/>
    <w:rsid w:val="00A3432F"/>
    <w:rsid w:val="00A34BB4"/>
    <w:rsid w:val="00A353DD"/>
    <w:rsid w:val="00A35FB1"/>
    <w:rsid w:val="00A37AEA"/>
    <w:rsid w:val="00A40B8A"/>
    <w:rsid w:val="00A40F41"/>
    <w:rsid w:val="00A412AA"/>
    <w:rsid w:val="00A47B14"/>
    <w:rsid w:val="00A47EEE"/>
    <w:rsid w:val="00A5174A"/>
    <w:rsid w:val="00A5258E"/>
    <w:rsid w:val="00A5508B"/>
    <w:rsid w:val="00A55E84"/>
    <w:rsid w:val="00A60FEE"/>
    <w:rsid w:val="00A61D7C"/>
    <w:rsid w:val="00A62BD3"/>
    <w:rsid w:val="00A64720"/>
    <w:rsid w:val="00A7169F"/>
    <w:rsid w:val="00A71B7F"/>
    <w:rsid w:val="00A72DDC"/>
    <w:rsid w:val="00A73A3E"/>
    <w:rsid w:val="00A74158"/>
    <w:rsid w:val="00A84858"/>
    <w:rsid w:val="00A91A1A"/>
    <w:rsid w:val="00A91ADB"/>
    <w:rsid w:val="00A97E73"/>
    <w:rsid w:val="00AA144A"/>
    <w:rsid w:val="00AA4502"/>
    <w:rsid w:val="00AA5631"/>
    <w:rsid w:val="00AA5FAC"/>
    <w:rsid w:val="00AB2B1B"/>
    <w:rsid w:val="00AB7DB7"/>
    <w:rsid w:val="00AC2519"/>
    <w:rsid w:val="00AD4858"/>
    <w:rsid w:val="00AD7062"/>
    <w:rsid w:val="00AE0FE8"/>
    <w:rsid w:val="00AE0FEA"/>
    <w:rsid w:val="00AE296B"/>
    <w:rsid w:val="00AE5E55"/>
    <w:rsid w:val="00AF185D"/>
    <w:rsid w:val="00AF21D8"/>
    <w:rsid w:val="00B00558"/>
    <w:rsid w:val="00B00AB1"/>
    <w:rsid w:val="00B0399B"/>
    <w:rsid w:val="00B04BE4"/>
    <w:rsid w:val="00B07EA6"/>
    <w:rsid w:val="00B16251"/>
    <w:rsid w:val="00B17959"/>
    <w:rsid w:val="00B17BBC"/>
    <w:rsid w:val="00B240CB"/>
    <w:rsid w:val="00B26BEE"/>
    <w:rsid w:val="00B314A8"/>
    <w:rsid w:val="00B36263"/>
    <w:rsid w:val="00B371CB"/>
    <w:rsid w:val="00B40BDF"/>
    <w:rsid w:val="00B43652"/>
    <w:rsid w:val="00B44348"/>
    <w:rsid w:val="00B44BEB"/>
    <w:rsid w:val="00B45C76"/>
    <w:rsid w:val="00B47082"/>
    <w:rsid w:val="00B50564"/>
    <w:rsid w:val="00B51CE3"/>
    <w:rsid w:val="00B60190"/>
    <w:rsid w:val="00B62B61"/>
    <w:rsid w:val="00B64B43"/>
    <w:rsid w:val="00B65C29"/>
    <w:rsid w:val="00B724A7"/>
    <w:rsid w:val="00B7302D"/>
    <w:rsid w:val="00B74B15"/>
    <w:rsid w:val="00B7709A"/>
    <w:rsid w:val="00B821DA"/>
    <w:rsid w:val="00B823E9"/>
    <w:rsid w:val="00B83914"/>
    <w:rsid w:val="00B83B0C"/>
    <w:rsid w:val="00B84C55"/>
    <w:rsid w:val="00B85E50"/>
    <w:rsid w:val="00B9273E"/>
    <w:rsid w:val="00B936D3"/>
    <w:rsid w:val="00B965E9"/>
    <w:rsid w:val="00BA131C"/>
    <w:rsid w:val="00BB07F5"/>
    <w:rsid w:val="00BB1DBF"/>
    <w:rsid w:val="00BB2DC7"/>
    <w:rsid w:val="00BB3F2C"/>
    <w:rsid w:val="00BB4099"/>
    <w:rsid w:val="00BB4DAB"/>
    <w:rsid w:val="00BC0A3D"/>
    <w:rsid w:val="00BC37FC"/>
    <w:rsid w:val="00BD0374"/>
    <w:rsid w:val="00BD2053"/>
    <w:rsid w:val="00BD3651"/>
    <w:rsid w:val="00BD7152"/>
    <w:rsid w:val="00BD717E"/>
    <w:rsid w:val="00BD7526"/>
    <w:rsid w:val="00BD7D2B"/>
    <w:rsid w:val="00BE0D17"/>
    <w:rsid w:val="00BE210D"/>
    <w:rsid w:val="00BE5EA3"/>
    <w:rsid w:val="00BE7D73"/>
    <w:rsid w:val="00BF0DC3"/>
    <w:rsid w:val="00BF7BB4"/>
    <w:rsid w:val="00C11258"/>
    <w:rsid w:val="00C1219D"/>
    <w:rsid w:val="00C1246A"/>
    <w:rsid w:val="00C16204"/>
    <w:rsid w:val="00C23AFC"/>
    <w:rsid w:val="00C253CE"/>
    <w:rsid w:val="00C26836"/>
    <w:rsid w:val="00C31FE9"/>
    <w:rsid w:val="00C35829"/>
    <w:rsid w:val="00C35BF8"/>
    <w:rsid w:val="00C37AAD"/>
    <w:rsid w:val="00C41C01"/>
    <w:rsid w:val="00C4235B"/>
    <w:rsid w:val="00C44EE1"/>
    <w:rsid w:val="00C469CF"/>
    <w:rsid w:val="00C47202"/>
    <w:rsid w:val="00C53173"/>
    <w:rsid w:val="00C539A3"/>
    <w:rsid w:val="00C550EB"/>
    <w:rsid w:val="00C702E3"/>
    <w:rsid w:val="00C70CDC"/>
    <w:rsid w:val="00C71B2C"/>
    <w:rsid w:val="00C7215F"/>
    <w:rsid w:val="00C7263C"/>
    <w:rsid w:val="00C7424F"/>
    <w:rsid w:val="00C74A68"/>
    <w:rsid w:val="00C775E0"/>
    <w:rsid w:val="00C813B5"/>
    <w:rsid w:val="00C81457"/>
    <w:rsid w:val="00C81A50"/>
    <w:rsid w:val="00C83CBF"/>
    <w:rsid w:val="00C84ED6"/>
    <w:rsid w:val="00C8597D"/>
    <w:rsid w:val="00C862A1"/>
    <w:rsid w:val="00C906BB"/>
    <w:rsid w:val="00C92B7D"/>
    <w:rsid w:val="00C934BB"/>
    <w:rsid w:val="00C93620"/>
    <w:rsid w:val="00C96A5C"/>
    <w:rsid w:val="00C978C3"/>
    <w:rsid w:val="00CA0201"/>
    <w:rsid w:val="00CA3392"/>
    <w:rsid w:val="00CA684C"/>
    <w:rsid w:val="00CB3B70"/>
    <w:rsid w:val="00CB46B6"/>
    <w:rsid w:val="00CC19C4"/>
    <w:rsid w:val="00CC2BDB"/>
    <w:rsid w:val="00CD2214"/>
    <w:rsid w:val="00CD40D2"/>
    <w:rsid w:val="00CD559A"/>
    <w:rsid w:val="00CE1DE8"/>
    <w:rsid w:val="00CE1E31"/>
    <w:rsid w:val="00CE230D"/>
    <w:rsid w:val="00CE56E5"/>
    <w:rsid w:val="00CE6F85"/>
    <w:rsid w:val="00CF57CA"/>
    <w:rsid w:val="00CF5EA5"/>
    <w:rsid w:val="00CF6530"/>
    <w:rsid w:val="00D0107A"/>
    <w:rsid w:val="00D02631"/>
    <w:rsid w:val="00D04BD5"/>
    <w:rsid w:val="00D05A7C"/>
    <w:rsid w:val="00D1313F"/>
    <w:rsid w:val="00D23356"/>
    <w:rsid w:val="00D24703"/>
    <w:rsid w:val="00D24AFA"/>
    <w:rsid w:val="00D276D7"/>
    <w:rsid w:val="00D30C6E"/>
    <w:rsid w:val="00D356DE"/>
    <w:rsid w:val="00D42939"/>
    <w:rsid w:val="00D42C45"/>
    <w:rsid w:val="00D44985"/>
    <w:rsid w:val="00D450C0"/>
    <w:rsid w:val="00D45461"/>
    <w:rsid w:val="00D53666"/>
    <w:rsid w:val="00D575D5"/>
    <w:rsid w:val="00D62732"/>
    <w:rsid w:val="00D65849"/>
    <w:rsid w:val="00D662B4"/>
    <w:rsid w:val="00D67298"/>
    <w:rsid w:val="00D71F66"/>
    <w:rsid w:val="00D744B4"/>
    <w:rsid w:val="00D752EC"/>
    <w:rsid w:val="00D77782"/>
    <w:rsid w:val="00D80359"/>
    <w:rsid w:val="00D809A6"/>
    <w:rsid w:val="00D81C81"/>
    <w:rsid w:val="00D834BF"/>
    <w:rsid w:val="00D84089"/>
    <w:rsid w:val="00D84EA8"/>
    <w:rsid w:val="00D85E05"/>
    <w:rsid w:val="00D8611F"/>
    <w:rsid w:val="00D86540"/>
    <w:rsid w:val="00D86E21"/>
    <w:rsid w:val="00D87BDE"/>
    <w:rsid w:val="00D91D43"/>
    <w:rsid w:val="00D9458D"/>
    <w:rsid w:val="00D96ADA"/>
    <w:rsid w:val="00DA10DA"/>
    <w:rsid w:val="00DA1D2F"/>
    <w:rsid w:val="00DA2283"/>
    <w:rsid w:val="00DA2289"/>
    <w:rsid w:val="00DA2611"/>
    <w:rsid w:val="00DA5DDB"/>
    <w:rsid w:val="00DA6199"/>
    <w:rsid w:val="00DA773A"/>
    <w:rsid w:val="00DB00D6"/>
    <w:rsid w:val="00DB2296"/>
    <w:rsid w:val="00DB236E"/>
    <w:rsid w:val="00DC1133"/>
    <w:rsid w:val="00DC40BB"/>
    <w:rsid w:val="00DC70EA"/>
    <w:rsid w:val="00DC7277"/>
    <w:rsid w:val="00DC7AAB"/>
    <w:rsid w:val="00DC7D65"/>
    <w:rsid w:val="00DD1DAB"/>
    <w:rsid w:val="00DD25B3"/>
    <w:rsid w:val="00DD2DF8"/>
    <w:rsid w:val="00DE24D4"/>
    <w:rsid w:val="00DE37FD"/>
    <w:rsid w:val="00DE5146"/>
    <w:rsid w:val="00DE7ED5"/>
    <w:rsid w:val="00DF110D"/>
    <w:rsid w:val="00DF42C8"/>
    <w:rsid w:val="00E01C7B"/>
    <w:rsid w:val="00E03A86"/>
    <w:rsid w:val="00E135C3"/>
    <w:rsid w:val="00E14567"/>
    <w:rsid w:val="00E16CB7"/>
    <w:rsid w:val="00E219DB"/>
    <w:rsid w:val="00E30880"/>
    <w:rsid w:val="00E30D6B"/>
    <w:rsid w:val="00E31584"/>
    <w:rsid w:val="00E32118"/>
    <w:rsid w:val="00E34CAA"/>
    <w:rsid w:val="00E40046"/>
    <w:rsid w:val="00E448B9"/>
    <w:rsid w:val="00E547F8"/>
    <w:rsid w:val="00E550CC"/>
    <w:rsid w:val="00E56292"/>
    <w:rsid w:val="00E56AC7"/>
    <w:rsid w:val="00E60E85"/>
    <w:rsid w:val="00E6267F"/>
    <w:rsid w:val="00E64085"/>
    <w:rsid w:val="00E67B20"/>
    <w:rsid w:val="00E67C28"/>
    <w:rsid w:val="00E72D81"/>
    <w:rsid w:val="00E75935"/>
    <w:rsid w:val="00E76892"/>
    <w:rsid w:val="00E76DC1"/>
    <w:rsid w:val="00E81B7E"/>
    <w:rsid w:val="00E8306D"/>
    <w:rsid w:val="00E84D52"/>
    <w:rsid w:val="00E9027A"/>
    <w:rsid w:val="00E92AA2"/>
    <w:rsid w:val="00E95850"/>
    <w:rsid w:val="00EB0567"/>
    <w:rsid w:val="00EB0E00"/>
    <w:rsid w:val="00EB6F79"/>
    <w:rsid w:val="00EC2452"/>
    <w:rsid w:val="00EC38A4"/>
    <w:rsid w:val="00EC413F"/>
    <w:rsid w:val="00EC795F"/>
    <w:rsid w:val="00ED09D6"/>
    <w:rsid w:val="00ED11C6"/>
    <w:rsid w:val="00ED1CDA"/>
    <w:rsid w:val="00ED3B93"/>
    <w:rsid w:val="00ED3F6B"/>
    <w:rsid w:val="00EE0E26"/>
    <w:rsid w:val="00EE268B"/>
    <w:rsid w:val="00EE3D33"/>
    <w:rsid w:val="00EE46C7"/>
    <w:rsid w:val="00EE6A31"/>
    <w:rsid w:val="00EE7F60"/>
    <w:rsid w:val="00EF07A2"/>
    <w:rsid w:val="00EF24CE"/>
    <w:rsid w:val="00EF39F5"/>
    <w:rsid w:val="00EF76AA"/>
    <w:rsid w:val="00EF77EF"/>
    <w:rsid w:val="00F0572C"/>
    <w:rsid w:val="00F0579C"/>
    <w:rsid w:val="00F125B9"/>
    <w:rsid w:val="00F126EA"/>
    <w:rsid w:val="00F145AA"/>
    <w:rsid w:val="00F175DC"/>
    <w:rsid w:val="00F22729"/>
    <w:rsid w:val="00F24AFF"/>
    <w:rsid w:val="00F337F0"/>
    <w:rsid w:val="00F34687"/>
    <w:rsid w:val="00F402E9"/>
    <w:rsid w:val="00F41AB9"/>
    <w:rsid w:val="00F4309F"/>
    <w:rsid w:val="00F441DA"/>
    <w:rsid w:val="00F45613"/>
    <w:rsid w:val="00F46AD7"/>
    <w:rsid w:val="00F55D17"/>
    <w:rsid w:val="00F57745"/>
    <w:rsid w:val="00F67086"/>
    <w:rsid w:val="00F7051B"/>
    <w:rsid w:val="00F748E7"/>
    <w:rsid w:val="00F764A3"/>
    <w:rsid w:val="00F770B4"/>
    <w:rsid w:val="00F77A80"/>
    <w:rsid w:val="00F77FEC"/>
    <w:rsid w:val="00F81414"/>
    <w:rsid w:val="00F84286"/>
    <w:rsid w:val="00F857FC"/>
    <w:rsid w:val="00F8654E"/>
    <w:rsid w:val="00F865D4"/>
    <w:rsid w:val="00F86C99"/>
    <w:rsid w:val="00F87D1A"/>
    <w:rsid w:val="00F9374A"/>
    <w:rsid w:val="00F945E6"/>
    <w:rsid w:val="00F94AF7"/>
    <w:rsid w:val="00F951B1"/>
    <w:rsid w:val="00F96AC6"/>
    <w:rsid w:val="00FA1835"/>
    <w:rsid w:val="00FA40BC"/>
    <w:rsid w:val="00FA559B"/>
    <w:rsid w:val="00FA6E35"/>
    <w:rsid w:val="00FB4893"/>
    <w:rsid w:val="00FB4DC0"/>
    <w:rsid w:val="00FB4F4D"/>
    <w:rsid w:val="00FC2B2B"/>
    <w:rsid w:val="00FC4AE4"/>
    <w:rsid w:val="00FC760B"/>
    <w:rsid w:val="00FD0349"/>
    <w:rsid w:val="00FD5A7C"/>
    <w:rsid w:val="00FD6158"/>
    <w:rsid w:val="00FD6971"/>
    <w:rsid w:val="00FD735C"/>
    <w:rsid w:val="00FD7ECE"/>
    <w:rsid w:val="00FE72D4"/>
    <w:rsid w:val="00FF6B7F"/>
    <w:rsid w:val="01553AA8"/>
    <w:rsid w:val="01BB6113"/>
    <w:rsid w:val="01F82AE0"/>
    <w:rsid w:val="028D5490"/>
    <w:rsid w:val="03057A0F"/>
    <w:rsid w:val="03281F7C"/>
    <w:rsid w:val="032A4DAD"/>
    <w:rsid w:val="034D4FC5"/>
    <w:rsid w:val="037128EA"/>
    <w:rsid w:val="03D45231"/>
    <w:rsid w:val="043F769E"/>
    <w:rsid w:val="047810B4"/>
    <w:rsid w:val="0488742E"/>
    <w:rsid w:val="04C05C0B"/>
    <w:rsid w:val="04E75B5C"/>
    <w:rsid w:val="0551514C"/>
    <w:rsid w:val="056F3C2F"/>
    <w:rsid w:val="05E34BFC"/>
    <w:rsid w:val="0619472E"/>
    <w:rsid w:val="061F7257"/>
    <w:rsid w:val="06B007C6"/>
    <w:rsid w:val="070B6292"/>
    <w:rsid w:val="07F150BA"/>
    <w:rsid w:val="081D6C38"/>
    <w:rsid w:val="08327BE8"/>
    <w:rsid w:val="0860250E"/>
    <w:rsid w:val="087B6EE5"/>
    <w:rsid w:val="089D3757"/>
    <w:rsid w:val="08B03739"/>
    <w:rsid w:val="0AB677EE"/>
    <w:rsid w:val="0AC04075"/>
    <w:rsid w:val="0B1A66E9"/>
    <w:rsid w:val="0B9D2144"/>
    <w:rsid w:val="0BB67886"/>
    <w:rsid w:val="0BD51B92"/>
    <w:rsid w:val="0C272CCB"/>
    <w:rsid w:val="0CEB338A"/>
    <w:rsid w:val="0CEE45EE"/>
    <w:rsid w:val="0CFA792E"/>
    <w:rsid w:val="0D0D6D75"/>
    <w:rsid w:val="0D3A60EE"/>
    <w:rsid w:val="0DCF5CEA"/>
    <w:rsid w:val="0E53569E"/>
    <w:rsid w:val="0E7A040A"/>
    <w:rsid w:val="0EA74EED"/>
    <w:rsid w:val="0F5C079C"/>
    <w:rsid w:val="0F861ED4"/>
    <w:rsid w:val="0F99275A"/>
    <w:rsid w:val="0FAE0894"/>
    <w:rsid w:val="0FF637A7"/>
    <w:rsid w:val="100276B1"/>
    <w:rsid w:val="10062C33"/>
    <w:rsid w:val="101B0164"/>
    <w:rsid w:val="105D711A"/>
    <w:rsid w:val="10695D7C"/>
    <w:rsid w:val="115C2F1A"/>
    <w:rsid w:val="12462BFD"/>
    <w:rsid w:val="12AE3E26"/>
    <w:rsid w:val="12E744DD"/>
    <w:rsid w:val="13645599"/>
    <w:rsid w:val="138F5C4D"/>
    <w:rsid w:val="13B273AB"/>
    <w:rsid w:val="13EA169A"/>
    <w:rsid w:val="144F5098"/>
    <w:rsid w:val="14C32D57"/>
    <w:rsid w:val="15220613"/>
    <w:rsid w:val="15F7022E"/>
    <w:rsid w:val="160826FD"/>
    <w:rsid w:val="160B7B72"/>
    <w:rsid w:val="161D0964"/>
    <w:rsid w:val="164D4BC7"/>
    <w:rsid w:val="16515B4A"/>
    <w:rsid w:val="16A26D59"/>
    <w:rsid w:val="16C72675"/>
    <w:rsid w:val="17B67E65"/>
    <w:rsid w:val="18215AD7"/>
    <w:rsid w:val="183E63A7"/>
    <w:rsid w:val="184B796F"/>
    <w:rsid w:val="187F2C89"/>
    <w:rsid w:val="188D122C"/>
    <w:rsid w:val="18E3327E"/>
    <w:rsid w:val="18F33637"/>
    <w:rsid w:val="19435052"/>
    <w:rsid w:val="19795C87"/>
    <w:rsid w:val="1A4A0F3C"/>
    <w:rsid w:val="1A6318BC"/>
    <w:rsid w:val="1AEA5023"/>
    <w:rsid w:val="1B01351F"/>
    <w:rsid w:val="1B361AA1"/>
    <w:rsid w:val="1B3656EC"/>
    <w:rsid w:val="1C625DE9"/>
    <w:rsid w:val="1CE820B2"/>
    <w:rsid w:val="1CFB386B"/>
    <w:rsid w:val="1DE5502E"/>
    <w:rsid w:val="1EB9762A"/>
    <w:rsid w:val="1F5A348F"/>
    <w:rsid w:val="22516E00"/>
    <w:rsid w:val="22903C7A"/>
    <w:rsid w:val="229911DD"/>
    <w:rsid w:val="22E40E5B"/>
    <w:rsid w:val="22E8423A"/>
    <w:rsid w:val="23127401"/>
    <w:rsid w:val="23A33B20"/>
    <w:rsid w:val="24137220"/>
    <w:rsid w:val="24474BB7"/>
    <w:rsid w:val="24821F8C"/>
    <w:rsid w:val="2590282A"/>
    <w:rsid w:val="25BF5D75"/>
    <w:rsid w:val="261164C4"/>
    <w:rsid w:val="261B03CF"/>
    <w:rsid w:val="26390B01"/>
    <w:rsid w:val="264D1BDE"/>
    <w:rsid w:val="26AC32A6"/>
    <w:rsid w:val="26F35BA7"/>
    <w:rsid w:val="27D55953"/>
    <w:rsid w:val="27F76E49"/>
    <w:rsid w:val="28D90FCF"/>
    <w:rsid w:val="28E43AA9"/>
    <w:rsid w:val="296608D3"/>
    <w:rsid w:val="2BAF0B3B"/>
    <w:rsid w:val="2C1B3A6A"/>
    <w:rsid w:val="2C5B6F44"/>
    <w:rsid w:val="2E1D4EF5"/>
    <w:rsid w:val="2F033FAA"/>
    <w:rsid w:val="2F97468B"/>
    <w:rsid w:val="2F987060"/>
    <w:rsid w:val="2FE57F33"/>
    <w:rsid w:val="302D1C64"/>
    <w:rsid w:val="307D18F3"/>
    <w:rsid w:val="308B7B06"/>
    <w:rsid w:val="30EE4EBB"/>
    <w:rsid w:val="311637B4"/>
    <w:rsid w:val="325E1B4A"/>
    <w:rsid w:val="332742E9"/>
    <w:rsid w:val="33A1533D"/>
    <w:rsid w:val="33C368B5"/>
    <w:rsid w:val="342C43B5"/>
    <w:rsid w:val="34301EE0"/>
    <w:rsid w:val="34554C97"/>
    <w:rsid w:val="34A73825"/>
    <w:rsid w:val="34EE611E"/>
    <w:rsid w:val="34F952B4"/>
    <w:rsid w:val="351C24CE"/>
    <w:rsid w:val="351F5AD6"/>
    <w:rsid w:val="356A6E59"/>
    <w:rsid w:val="362E702F"/>
    <w:rsid w:val="366B20E7"/>
    <w:rsid w:val="36720813"/>
    <w:rsid w:val="371815DF"/>
    <w:rsid w:val="3725589C"/>
    <w:rsid w:val="375A62FE"/>
    <w:rsid w:val="37EA1C3F"/>
    <w:rsid w:val="38527F5E"/>
    <w:rsid w:val="39562D56"/>
    <w:rsid w:val="39651049"/>
    <w:rsid w:val="3A5C66A3"/>
    <w:rsid w:val="3B1237DD"/>
    <w:rsid w:val="3B150880"/>
    <w:rsid w:val="3B4470C8"/>
    <w:rsid w:val="3B8328B9"/>
    <w:rsid w:val="3B857105"/>
    <w:rsid w:val="3C0D1DF2"/>
    <w:rsid w:val="3C4F67FA"/>
    <w:rsid w:val="3DB34EEB"/>
    <w:rsid w:val="3DC15D4C"/>
    <w:rsid w:val="3DC24072"/>
    <w:rsid w:val="3DCB042C"/>
    <w:rsid w:val="3E497D9C"/>
    <w:rsid w:val="3E592279"/>
    <w:rsid w:val="3E7965EE"/>
    <w:rsid w:val="3EE340BC"/>
    <w:rsid w:val="3EEE3569"/>
    <w:rsid w:val="3F5C0D28"/>
    <w:rsid w:val="3FCF2896"/>
    <w:rsid w:val="40CA2578"/>
    <w:rsid w:val="41671E09"/>
    <w:rsid w:val="41B37388"/>
    <w:rsid w:val="41E35F6C"/>
    <w:rsid w:val="420C7C93"/>
    <w:rsid w:val="42964918"/>
    <w:rsid w:val="430C56E8"/>
    <w:rsid w:val="43B1200F"/>
    <w:rsid w:val="441842D4"/>
    <w:rsid w:val="441F6C4C"/>
    <w:rsid w:val="443A0AC6"/>
    <w:rsid w:val="44B15292"/>
    <w:rsid w:val="456734AE"/>
    <w:rsid w:val="45BB6EDE"/>
    <w:rsid w:val="45C70EA9"/>
    <w:rsid w:val="45F423EC"/>
    <w:rsid w:val="46156CC0"/>
    <w:rsid w:val="46EB2A0B"/>
    <w:rsid w:val="46EF4D9B"/>
    <w:rsid w:val="47395389"/>
    <w:rsid w:val="47C83E89"/>
    <w:rsid w:val="48232C54"/>
    <w:rsid w:val="48CB6D5E"/>
    <w:rsid w:val="4927171B"/>
    <w:rsid w:val="49943157"/>
    <w:rsid w:val="49C0598A"/>
    <w:rsid w:val="4A394E58"/>
    <w:rsid w:val="4A5B3ED3"/>
    <w:rsid w:val="4A691A1A"/>
    <w:rsid w:val="4AE87A49"/>
    <w:rsid w:val="4B120089"/>
    <w:rsid w:val="4B7D5806"/>
    <w:rsid w:val="4CAE7402"/>
    <w:rsid w:val="4D362C90"/>
    <w:rsid w:val="4D86121F"/>
    <w:rsid w:val="4D9B1BF9"/>
    <w:rsid w:val="4DBC6D9E"/>
    <w:rsid w:val="4DDC5213"/>
    <w:rsid w:val="4E8E783D"/>
    <w:rsid w:val="4F68474E"/>
    <w:rsid w:val="4F8C3E24"/>
    <w:rsid w:val="50050745"/>
    <w:rsid w:val="50637EC0"/>
    <w:rsid w:val="50657647"/>
    <w:rsid w:val="50DD6B25"/>
    <w:rsid w:val="5120142A"/>
    <w:rsid w:val="51794290"/>
    <w:rsid w:val="519F3A6C"/>
    <w:rsid w:val="51E31A9E"/>
    <w:rsid w:val="51ED0B38"/>
    <w:rsid w:val="52754890"/>
    <w:rsid w:val="52A26534"/>
    <w:rsid w:val="531D1A6B"/>
    <w:rsid w:val="539A729A"/>
    <w:rsid w:val="53E9397B"/>
    <w:rsid w:val="53FB3C07"/>
    <w:rsid w:val="54713347"/>
    <w:rsid w:val="55752EA9"/>
    <w:rsid w:val="55EB1719"/>
    <w:rsid w:val="55F26E12"/>
    <w:rsid w:val="566C30AE"/>
    <w:rsid w:val="567A1BB6"/>
    <w:rsid w:val="56893E59"/>
    <w:rsid w:val="570F42F8"/>
    <w:rsid w:val="573E7B46"/>
    <w:rsid w:val="576C7667"/>
    <w:rsid w:val="577A56D2"/>
    <w:rsid w:val="57D4072C"/>
    <w:rsid w:val="57F141C1"/>
    <w:rsid w:val="57F9672D"/>
    <w:rsid w:val="581D3BFF"/>
    <w:rsid w:val="581F4877"/>
    <w:rsid w:val="586B2A0E"/>
    <w:rsid w:val="59786713"/>
    <w:rsid w:val="59993068"/>
    <w:rsid w:val="5AEE708A"/>
    <w:rsid w:val="5AFB433F"/>
    <w:rsid w:val="5B56570E"/>
    <w:rsid w:val="5C3E2B03"/>
    <w:rsid w:val="5C5C587E"/>
    <w:rsid w:val="5D0E7A06"/>
    <w:rsid w:val="5D0F1BAC"/>
    <w:rsid w:val="5D574AA4"/>
    <w:rsid w:val="5D7F17FF"/>
    <w:rsid w:val="5DD0257C"/>
    <w:rsid w:val="5E3178EA"/>
    <w:rsid w:val="5EE05CCE"/>
    <w:rsid w:val="5FE33E34"/>
    <w:rsid w:val="60845602"/>
    <w:rsid w:val="60C65D89"/>
    <w:rsid w:val="61DA7EFC"/>
    <w:rsid w:val="62F86AE6"/>
    <w:rsid w:val="63063965"/>
    <w:rsid w:val="63092BC4"/>
    <w:rsid w:val="63443793"/>
    <w:rsid w:val="63516CAC"/>
    <w:rsid w:val="63524064"/>
    <w:rsid w:val="64FA5C63"/>
    <w:rsid w:val="650B766A"/>
    <w:rsid w:val="656F5193"/>
    <w:rsid w:val="65D723B5"/>
    <w:rsid w:val="671C4B65"/>
    <w:rsid w:val="67770FEB"/>
    <w:rsid w:val="6782784F"/>
    <w:rsid w:val="686C53E8"/>
    <w:rsid w:val="688705C3"/>
    <w:rsid w:val="69B307DB"/>
    <w:rsid w:val="69BB48A5"/>
    <w:rsid w:val="6A0471C1"/>
    <w:rsid w:val="6A897603"/>
    <w:rsid w:val="6A98571C"/>
    <w:rsid w:val="6B07566C"/>
    <w:rsid w:val="6B49538E"/>
    <w:rsid w:val="6B620045"/>
    <w:rsid w:val="6BEB4CB0"/>
    <w:rsid w:val="6CDE42B3"/>
    <w:rsid w:val="6D6C4592"/>
    <w:rsid w:val="6D8003EC"/>
    <w:rsid w:val="6E036D73"/>
    <w:rsid w:val="6F214B25"/>
    <w:rsid w:val="6FA27491"/>
    <w:rsid w:val="702F23B5"/>
    <w:rsid w:val="70C11B91"/>
    <w:rsid w:val="7165726B"/>
    <w:rsid w:val="72120B30"/>
    <w:rsid w:val="722A4560"/>
    <w:rsid w:val="728C4F4D"/>
    <w:rsid w:val="731B3C3E"/>
    <w:rsid w:val="74232FB9"/>
    <w:rsid w:val="744A1AF6"/>
    <w:rsid w:val="7482175B"/>
    <w:rsid w:val="757B1310"/>
    <w:rsid w:val="75D609A1"/>
    <w:rsid w:val="76147484"/>
    <w:rsid w:val="765F7789"/>
    <w:rsid w:val="76792D06"/>
    <w:rsid w:val="768E6804"/>
    <w:rsid w:val="7723566E"/>
    <w:rsid w:val="77F83EC3"/>
    <w:rsid w:val="77FE3F1C"/>
    <w:rsid w:val="7894711D"/>
    <w:rsid w:val="78C5557B"/>
    <w:rsid w:val="78DE0917"/>
    <w:rsid w:val="79165394"/>
    <w:rsid w:val="79547117"/>
    <w:rsid w:val="7976587C"/>
    <w:rsid w:val="79A85D75"/>
    <w:rsid w:val="79D12612"/>
    <w:rsid w:val="7AA75927"/>
    <w:rsid w:val="7AB05B8E"/>
    <w:rsid w:val="7C595D8C"/>
    <w:rsid w:val="7C912E03"/>
    <w:rsid w:val="7D101397"/>
    <w:rsid w:val="7D6C5FCE"/>
    <w:rsid w:val="7D6F40DF"/>
    <w:rsid w:val="7D952BB4"/>
    <w:rsid w:val="7DF9611D"/>
    <w:rsid w:val="7E550B3A"/>
    <w:rsid w:val="7E8C3869"/>
    <w:rsid w:val="7F883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 w:semiHidden="0" w:name="heading 1"/>
    <w:lsdException w:uiPriority="9" w:name="heading 2"/>
    <w:lsdException w:qFormat="1" w:unhideWhenUsed="0" w:uiPriority="0" w:semiHidden="0" w:name="heading 3"/>
    <w:lsdException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360" w:lineRule="auto"/>
      <w:jc w:val="both"/>
    </w:pPr>
    <w:rPr>
      <w:rFonts w:ascii="Times New Roman" w:hAnsi="Times New Roman" w:eastAsia="宋体" w:cs="Times New Roman"/>
      <w:kern w:val="2"/>
      <w:sz w:val="24"/>
      <w:szCs w:val="20"/>
      <w:lang w:val="en-US" w:eastAsia="zh-CN" w:bidi="ar-SA"/>
    </w:rPr>
  </w:style>
  <w:style w:type="paragraph" w:styleId="3">
    <w:name w:val="heading 3"/>
    <w:next w:val="1"/>
    <w:link w:val="26"/>
    <w:qFormat/>
    <w:uiPriority w:val="0"/>
    <w:pPr>
      <w:keepNext/>
      <w:keepLines/>
      <w:spacing w:after="0" w:line="500" w:lineRule="exact"/>
      <w:outlineLvl w:val="2"/>
    </w:pPr>
    <w:rPr>
      <w:rFonts w:ascii="Times New Roman" w:hAnsi="Times New Roman" w:eastAsia="黑体" w:cs="Times New Roman"/>
      <w:b/>
      <w:bCs/>
      <w:kern w:val="2"/>
      <w:sz w:val="24"/>
      <w:szCs w:val="32"/>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header"/>
    <w:basedOn w:val="1"/>
    <w:next w:val="1"/>
    <w:link w:val="21"/>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Normal Indent"/>
    <w:basedOn w:val="1"/>
    <w:link w:val="35"/>
    <w:qFormat/>
    <w:uiPriority w:val="0"/>
    <w:pPr>
      <w:spacing w:line="240" w:lineRule="auto"/>
      <w:ind w:firstLine="420" w:firstLineChars="200"/>
    </w:pPr>
    <w:rPr>
      <w:rFonts w:asciiTheme="minorHAnsi" w:hAnsiTheme="minorHAnsi" w:cstheme="minorBidi"/>
      <w:sz w:val="21"/>
      <w:szCs w:val="24"/>
    </w:rPr>
  </w:style>
  <w:style w:type="paragraph" w:styleId="5">
    <w:name w:val="annotation text"/>
    <w:basedOn w:val="1"/>
    <w:link w:val="57"/>
    <w:semiHidden/>
    <w:unhideWhenUsed/>
    <w:qFormat/>
    <w:uiPriority w:val="99"/>
    <w:pPr>
      <w:jc w:val="left"/>
    </w:pPr>
  </w:style>
  <w:style w:type="paragraph" w:styleId="6">
    <w:name w:val="Body Text"/>
    <w:basedOn w:val="1"/>
    <w:link w:val="31"/>
    <w:unhideWhenUsed/>
    <w:qFormat/>
    <w:uiPriority w:val="99"/>
    <w:pPr>
      <w:spacing w:after="120"/>
    </w:pPr>
  </w:style>
  <w:style w:type="paragraph" w:styleId="7">
    <w:name w:val="Body Text Indent"/>
    <w:basedOn w:val="1"/>
    <w:link w:val="27"/>
    <w:unhideWhenUsed/>
    <w:qFormat/>
    <w:uiPriority w:val="99"/>
    <w:pPr>
      <w:spacing w:after="120"/>
      <w:ind w:left="420" w:leftChars="200"/>
    </w:pPr>
  </w:style>
  <w:style w:type="paragraph" w:styleId="8">
    <w:name w:val="Plain Text"/>
    <w:basedOn w:val="1"/>
    <w:link w:val="38"/>
    <w:qFormat/>
    <w:uiPriority w:val="0"/>
    <w:rPr>
      <w:rFonts w:asciiTheme="minorHAnsi" w:hAnsiTheme="minorHAnsi" w:cstheme="minorBidi"/>
      <w:spacing w:val="8"/>
      <w:szCs w:val="22"/>
    </w:rPr>
  </w:style>
  <w:style w:type="paragraph" w:styleId="9">
    <w:name w:val="Date"/>
    <w:basedOn w:val="1"/>
    <w:next w:val="1"/>
    <w:link w:val="48"/>
    <w:qFormat/>
    <w:uiPriority w:val="0"/>
    <w:pPr>
      <w:spacing w:line="240" w:lineRule="auto"/>
    </w:pPr>
    <w:rPr>
      <w:sz w:val="28"/>
      <w:szCs w:val="28"/>
    </w:rPr>
  </w:style>
  <w:style w:type="paragraph" w:styleId="10">
    <w:name w:val="Balloon Text"/>
    <w:basedOn w:val="1"/>
    <w:link w:val="42"/>
    <w:semiHidden/>
    <w:unhideWhenUsed/>
    <w:qFormat/>
    <w:uiPriority w:val="99"/>
    <w:pPr>
      <w:spacing w:line="240" w:lineRule="auto"/>
    </w:pPr>
    <w:rPr>
      <w:sz w:val="18"/>
      <w:szCs w:val="18"/>
    </w:rPr>
  </w:style>
  <w:style w:type="paragraph" w:styleId="11">
    <w:name w:val="footer"/>
    <w:basedOn w:val="1"/>
    <w:link w:val="22"/>
    <w:unhideWhenUsed/>
    <w:qFormat/>
    <w:uiPriority w:val="99"/>
    <w:pPr>
      <w:tabs>
        <w:tab w:val="center" w:pos="4153"/>
        <w:tab w:val="right" w:pos="8306"/>
      </w:tabs>
      <w:snapToGrid w:val="0"/>
      <w:spacing w:line="240" w:lineRule="auto"/>
    </w:pPr>
    <w:rPr>
      <w:sz w:val="18"/>
      <w:szCs w:val="18"/>
    </w:rPr>
  </w:style>
  <w:style w:type="paragraph" w:styleId="12">
    <w:name w:val="Normal (Web)"/>
    <w:basedOn w:val="1"/>
    <w:qFormat/>
    <w:uiPriority w:val="0"/>
    <w:pPr>
      <w:widowControl/>
      <w:spacing w:before="100" w:beforeAutospacing="1" w:after="100" w:afterAutospacing="1" w:line="240" w:lineRule="auto"/>
      <w:jc w:val="left"/>
    </w:pPr>
    <w:rPr>
      <w:rFonts w:ascii="宋体" w:hAnsi="宋体" w:cs="宋体"/>
      <w:color w:val="000000"/>
      <w:kern w:val="0"/>
      <w:szCs w:val="24"/>
      <w:lang w:bidi="th-TH"/>
    </w:rPr>
  </w:style>
  <w:style w:type="paragraph" w:styleId="13">
    <w:name w:val="annotation subject"/>
    <w:basedOn w:val="5"/>
    <w:next w:val="5"/>
    <w:link w:val="58"/>
    <w:semiHidden/>
    <w:unhideWhenUsed/>
    <w:qFormat/>
    <w:uiPriority w:val="99"/>
    <w:rPr>
      <w:b/>
      <w:bCs/>
    </w:rPr>
  </w:style>
  <w:style w:type="table" w:styleId="15">
    <w:name w:val="Table Grid"/>
    <w:basedOn w:val="14"/>
    <w:qFormat/>
    <w:uiPriority w:val="39"/>
    <w:pPr>
      <w:widowControl w:val="0"/>
      <w:spacing w:after="0" w:line="240" w:lineRule="auto"/>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Emphasis"/>
    <w:basedOn w:val="16"/>
    <w:qFormat/>
    <w:uiPriority w:val="20"/>
    <w:rPr>
      <w:i/>
      <w:iCs/>
    </w:rPr>
  </w:style>
  <w:style w:type="character" w:styleId="18">
    <w:name w:val="Hyperlink"/>
    <w:basedOn w:val="16"/>
    <w:semiHidden/>
    <w:unhideWhenUsed/>
    <w:qFormat/>
    <w:uiPriority w:val="99"/>
    <w:rPr>
      <w:color w:val="0000FF"/>
      <w:u w:val="single"/>
    </w:rPr>
  </w:style>
  <w:style w:type="character" w:styleId="19">
    <w:name w:val="annotation reference"/>
    <w:qFormat/>
    <w:uiPriority w:val="0"/>
    <w:rPr>
      <w:sz w:val="21"/>
      <w:szCs w:val="21"/>
    </w:rPr>
  </w:style>
  <w:style w:type="character" w:customStyle="1" w:styleId="20">
    <w:name w:val="标题 3 字符"/>
    <w:basedOn w:val="16"/>
    <w:semiHidden/>
    <w:qFormat/>
    <w:uiPriority w:val="9"/>
    <w:rPr>
      <w:rFonts w:ascii="Times New Roman" w:hAnsi="Times New Roman" w:eastAsia="宋体" w:cs="Times New Roman"/>
      <w:b/>
      <w:bCs/>
      <w:kern w:val="2"/>
      <w:sz w:val="32"/>
      <w:szCs w:val="32"/>
    </w:rPr>
  </w:style>
  <w:style w:type="character" w:customStyle="1" w:styleId="21">
    <w:name w:val="页眉 字符"/>
    <w:basedOn w:val="16"/>
    <w:link w:val="2"/>
    <w:qFormat/>
    <w:uiPriority w:val="0"/>
    <w:rPr>
      <w:rFonts w:ascii="Times New Roman" w:hAnsi="Times New Roman" w:eastAsia="宋体" w:cs="Times New Roman"/>
      <w:kern w:val="2"/>
      <w:sz w:val="18"/>
      <w:szCs w:val="18"/>
    </w:rPr>
  </w:style>
  <w:style w:type="character" w:customStyle="1" w:styleId="22">
    <w:name w:val="页脚 字符"/>
    <w:basedOn w:val="16"/>
    <w:link w:val="11"/>
    <w:qFormat/>
    <w:uiPriority w:val="99"/>
    <w:rPr>
      <w:rFonts w:ascii="Times New Roman" w:hAnsi="Times New Roman" w:eastAsia="宋体" w:cs="Times New Roman"/>
      <w:kern w:val="2"/>
      <w:sz w:val="18"/>
      <w:szCs w:val="18"/>
    </w:rPr>
  </w:style>
  <w:style w:type="paragraph" w:customStyle="1" w:styleId="23">
    <w:name w:val="表格"/>
    <w:basedOn w:val="1"/>
    <w:link w:val="24"/>
    <w:qFormat/>
    <w:uiPriority w:val="0"/>
    <w:pPr>
      <w:spacing w:line="240" w:lineRule="auto"/>
      <w:jc w:val="center"/>
    </w:pPr>
    <w:rPr>
      <w:sz w:val="21"/>
      <w:szCs w:val="21"/>
    </w:rPr>
  </w:style>
  <w:style w:type="character" w:customStyle="1" w:styleId="24">
    <w:name w:val="表格 字符"/>
    <w:basedOn w:val="16"/>
    <w:link w:val="23"/>
    <w:qFormat/>
    <w:uiPriority w:val="0"/>
    <w:rPr>
      <w:rFonts w:ascii="Times New Roman" w:hAnsi="Times New Roman" w:eastAsia="宋体" w:cs="Times New Roman"/>
      <w:kern w:val="2"/>
      <w:sz w:val="21"/>
      <w:szCs w:val="21"/>
    </w:rPr>
  </w:style>
  <w:style w:type="paragraph" w:styleId="25">
    <w:name w:val="List Paragraph"/>
    <w:basedOn w:val="1"/>
    <w:qFormat/>
    <w:uiPriority w:val="34"/>
    <w:pPr>
      <w:ind w:firstLine="420" w:firstLineChars="200"/>
    </w:pPr>
  </w:style>
  <w:style w:type="character" w:customStyle="1" w:styleId="26">
    <w:name w:val="标题 3 字符1"/>
    <w:link w:val="3"/>
    <w:qFormat/>
    <w:uiPriority w:val="0"/>
    <w:rPr>
      <w:rFonts w:ascii="Times New Roman" w:hAnsi="Times New Roman" w:eastAsia="黑体" w:cs="Times New Roman"/>
      <w:b/>
      <w:bCs/>
      <w:kern w:val="2"/>
      <w:sz w:val="24"/>
      <w:szCs w:val="32"/>
    </w:rPr>
  </w:style>
  <w:style w:type="character" w:customStyle="1" w:styleId="27">
    <w:name w:val="正文文本缩进 字符"/>
    <w:basedOn w:val="16"/>
    <w:link w:val="7"/>
    <w:qFormat/>
    <w:uiPriority w:val="99"/>
    <w:rPr>
      <w:rFonts w:ascii="Times New Roman" w:hAnsi="Times New Roman" w:eastAsia="宋体" w:cs="Times New Roman"/>
      <w:kern w:val="2"/>
      <w:sz w:val="24"/>
      <w:szCs w:val="20"/>
    </w:rPr>
  </w:style>
  <w:style w:type="paragraph" w:customStyle="1" w:styleId="28">
    <w:name w:val="_Style 2"/>
    <w:basedOn w:val="1"/>
    <w:qFormat/>
    <w:uiPriority w:val="0"/>
    <w:pPr>
      <w:spacing w:line="240" w:lineRule="auto"/>
      <w:ind w:firstLine="420" w:firstLineChars="200"/>
    </w:pPr>
    <w:rPr>
      <w:sz w:val="21"/>
      <w:szCs w:val="24"/>
    </w:rPr>
  </w:style>
  <w:style w:type="character" w:customStyle="1" w:styleId="29">
    <w:name w:val="0正文 Char"/>
    <w:link w:val="30"/>
    <w:qFormat/>
    <w:locked/>
    <w:uiPriority w:val="0"/>
    <w:rPr>
      <w:sz w:val="24"/>
    </w:rPr>
  </w:style>
  <w:style w:type="paragraph" w:customStyle="1" w:styleId="30">
    <w:name w:val="0正文"/>
    <w:basedOn w:val="7"/>
    <w:link w:val="29"/>
    <w:qFormat/>
    <w:uiPriority w:val="0"/>
    <w:pPr>
      <w:autoSpaceDN w:val="0"/>
      <w:spacing w:after="0" w:line="300" w:lineRule="auto"/>
      <w:ind w:left="0" w:leftChars="0" w:firstLine="480" w:firstLineChars="200"/>
    </w:pPr>
    <w:rPr>
      <w:rFonts w:asciiTheme="minorHAnsi" w:hAnsiTheme="minorHAnsi" w:eastAsiaTheme="minorEastAsia" w:cstheme="minorBidi"/>
      <w:kern w:val="0"/>
      <w:szCs w:val="22"/>
    </w:rPr>
  </w:style>
  <w:style w:type="character" w:customStyle="1" w:styleId="31">
    <w:name w:val="正文文本 字符"/>
    <w:basedOn w:val="16"/>
    <w:link w:val="6"/>
    <w:qFormat/>
    <w:uiPriority w:val="99"/>
    <w:rPr>
      <w:rFonts w:ascii="Times New Roman" w:hAnsi="Times New Roman" w:eastAsia="宋体" w:cs="Times New Roman"/>
      <w:kern w:val="2"/>
      <w:sz w:val="24"/>
      <w:szCs w:val="20"/>
    </w:rPr>
  </w:style>
  <w:style w:type="paragraph" w:customStyle="1" w:styleId="32">
    <w:name w:val="表格文字"/>
    <w:basedOn w:val="1"/>
    <w:link w:val="33"/>
    <w:qFormat/>
    <w:uiPriority w:val="0"/>
    <w:pPr>
      <w:tabs>
        <w:tab w:val="left" w:pos="360"/>
        <w:tab w:val="left" w:pos="1620"/>
      </w:tabs>
      <w:snapToGrid w:val="0"/>
      <w:spacing w:line="240" w:lineRule="auto"/>
      <w:jc w:val="center"/>
    </w:pPr>
    <w:rPr>
      <w:sz w:val="21"/>
      <w:lang w:val="zh-CN" w:eastAsia="zh-CN"/>
    </w:rPr>
  </w:style>
  <w:style w:type="character" w:customStyle="1" w:styleId="33">
    <w:name w:val="表格文字 Char Char"/>
    <w:link w:val="32"/>
    <w:qFormat/>
    <w:uiPriority w:val="0"/>
    <w:rPr>
      <w:rFonts w:ascii="Times New Roman" w:hAnsi="Times New Roman" w:eastAsia="宋体" w:cs="Times New Roman"/>
      <w:kern w:val="2"/>
      <w:sz w:val="21"/>
      <w:szCs w:val="20"/>
      <w:lang w:val="zh-CN" w:eastAsia="zh-CN"/>
    </w:rPr>
  </w:style>
  <w:style w:type="paragraph" w:customStyle="1" w:styleId="34">
    <w:name w:val="表格标题"/>
    <w:basedOn w:val="6"/>
    <w:qFormat/>
    <w:uiPriority w:val="0"/>
    <w:pPr>
      <w:spacing w:line="240" w:lineRule="auto"/>
    </w:pPr>
    <w:rPr>
      <w:rFonts w:asciiTheme="minorHAnsi" w:hAnsiTheme="minorHAnsi" w:eastAsiaTheme="minorEastAsia" w:cstheme="minorBidi"/>
      <w:sz w:val="21"/>
      <w:szCs w:val="24"/>
    </w:rPr>
  </w:style>
  <w:style w:type="character" w:customStyle="1" w:styleId="35">
    <w:name w:val="正文缩进 字符"/>
    <w:link w:val="4"/>
    <w:qFormat/>
    <w:uiPriority w:val="0"/>
    <w:rPr>
      <w:rFonts w:eastAsia="宋体"/>
      <w:kern w:val="2"/>
      <w:sz w:val="21"/>
      <w:szCs w:val="24"/>
    </w:rPr>
  </w:style>
  <w:style w:type="paragraph" w:customStyle="1" w:styleId="36">
    <w:name w:val="报告表正文"/>
    <w:basedOn w:val="1"/>
    <w:qFormat/>
    <w:uiPriority w:val="0"/>
    <w:pPr>
      <w:adjustRightInd w:val="0"/>
      <w:spacing w:line="312" w:lineRule="auto"/>
      <w:ind w:left="113" w:right="113" w:firstLine="482"/>
      <w:jc w:val="left"/>
      <w:textAlignment w:val="baseline"/>
    </w:pPr>
    <w:rPr>
      <w:kern w:val="0"/>
    </w:rPr>
  </w:style>
  <w:style w:type="character" w:customStyle="1" w:styleId="37">
    <w:name w:val="标题1 Char"/>
    <w:qFormat/>
    <w:uiPriority w:val="0"/>
    <w:rPr>
      <w:rFonts w:eastAsia="宋体"/>
      <w:b/>
      <w:kern w:val="44"/>
      <w:sz w:val="44"/>
      <w:lang w:val="en-US" w:eastAsia="zh-CN"/>
    </w:rPr>
  </w:style>
  <w:style w:type="character" w:customStyle="1" w:styleId="38">
    <w:name w:val="纯文本 字符"/>
    <w:link w:val="8"/>
    <w:qFormat/>
    <w:uiPriority w:val="0"/>
    <w:rPr>
      <w:rFonts w:eastAsia="宋体"/>
      <w:spacing w:val="8"/>
      <w:kern w:val="2"/>
      <w:sz w:val="24"/>
    </w:rPr>
  </w:style>
  <w:style w:type="character" w:customStyle="1" w:styleId="39">
    <w:name w:val="纯文本 字符1"/>
    <w:basedOn w:val="16"/>
    <w:semiHidden/>
    <w:qFormat/>
    <w:uiPriority w:val="99"/>
    <w:rPr>
      <w:rFonts w:hAnsi="Courier New" w:cs="Courier New" w:asciiTheme="minorEastAsia"/>
      <w:kern w:val="2"/>
      <w:sz w:val="24"/>
      <w:szCs w:val="20"/>
    </w:rPr>
  </w:style>
  <w:style w:type="paragraph" w:customStyle="1" w:styleId="40">
    <w:name w:val="正文报告"/>
    <w:basedOn w:val="1"/>
    <w:qFormat/>
    <w:uiPriority w:val="0"/>
    <w:pPr>
      <w:ind w:firstLine="480" w:firstLineChars="200"/>
    </w:pPr>
    <w:rPr>
      <w:szCs w:val="24"/>
    </w:rPr>
  </w:style>
  <w:style w:type="character" w:styleId="41">
    <w:name w:val="Placeholder Text"/>
    <w:basedOn w:val="16"/>
    <w:semiHidden/>
    <w:qFormat/>
    <w:uiPriority w:val="99"/>
    <w:rPr>
      <w:color w:val="808080"/>
    </w:rPr>
  </w:style>
  <w:style w:type="character" w:customStyle="1" w:styleId="42">
    <w:name w:val="批注框文本 字符"/>
    <w:basedOn w:val="16"/>
    <w:link w:val="10"/>
    <w:semiHidden/>
    <w:qFormat/>
    <w:uiPriority w:val="99"/>
    <w:rPr>
      <w:rFonts w:ascii="Times New Roman" w:hAnsi="Times New Roman" w:eastAsia="宋体" w:cs="Times New Roman"/>
      <w:kern w:val="2"/>
      <w:sz w:val="18"/>
      <w:szCs w:val="18"/>
    </w:rPr>
  </w:style>
  <w:style w:type="paragraph" w:customStyle="1" w:styleId="43">
    <w:name w:val="样式 小四 居中"/>
    <w:qFormat/>
    <w:uiPriority w:val="0"/>
    <w:pPr>
      <w:widowControl w:val="0"/>
      <w:spacing w:before="60" w:after="60" w:line="240" w:lineRule="auto"/>
      <w:jc w:val="center"/>
    </w:pPr>
    <w:rPr>
      <w:rFonts w:ascii="楷体_GB2312" w:hAnsi="Times New Roman" w:eastAsia="楷体_GB2312" w:cs="Times New Roman"/>
      <w:b/>
      <w:kern w:val="2"/>
      <w:sz w:val="24"/>
      <w:szCs w:val="20"/>
      <w:lang w:val="en-US" w:eastAsia="zh-CN" w:bidi="ar-SA"/>
    </w:rPr>
  </w:style>
  <w:style w:type="paragraph" w:customStyle="1" w:styleId="44">
    <w:name w:val="正文1"/>
    <w:basedOn w:val="2"/>
    <w:link w:val="46"/>
    <w:qFormat/>
    <w:uiPriority w:val="0"/>
    <w:pPr>
      <w:pBdr>
        <w:bottom w:val="none" w:color="auto" w:sz="0" w:space="0"/>
      </w:pBdr>
      <w:wordWrap w:val="0"/>
      <w:spacing w:line="360" w:lineRule="auto"/>
      <w:ind w:firstLine="200" w:firstLineChars="200"/>
      <w:jc w:val="both"/>
    </w:pPr>
    <w:rPr>
      <w:spacing w:val="-2"/>
      <w:sz w:val="24"/>
    </w:rPr>
  </w:style>
  <w:style w:type="paragraph" w:customStyle="1" w:styleId="45">
    <w:name w:val="表头"/>
    <w:basedOn w:val="2"/>
    <w:link w:val="47"/>
    <w:qFormat/>
    <w:uiPriority w:val="0"/>
    <w:pPr>
      <w:pBdr>
        <w:bottom w:val="none" w:color="auto" w:sz="0" w:space="0"/>
      </w:pBdr>
      <w:ind w:firstLine="200" w:firstLineChars="200"/>
      <w:jc w:val="both"/>
    </w:pPr>
    <w:rPr>
      <w:b/>
      <w:sz w:val="21"/>
      <w:szCs w:val="21"/>
    </w:rPr>
  </w:style>
  <w:style w:type="character" w:customStyle="1" w:styleId="46">
    <w:name w:val="正文1 字符"/>
    <w:basedOn w:val="21"/>
    <w:link w:val="44"/>
    <w:qFormat/>
    <w:uiPriority w:val="0"/>
    <w:rPr>
      <w:rFonts w:ascii="Times New Roman" w:hAnsi="Times New Roman" w:eastAsia="宋体" w:cs="Times New Roman"/>
      <w:spacing w:val="-2"/>
      <w:kern w:val="2"/>
      <w:sz w:val="24"/>
      <w:szCs w:val="18"/>
    </w:rPr>
  </w:style>
  <w:style w:type="character" w:customStyle="1" w:styleId="47">
    <w:name w:val="表头 字符"/>
    <w:basedOn w:val="21"/>
    <w:link w:val="45"/>
    <w:qFormat/>
    <w:uiPriority w:val="0"/>
    <w:rPr>
      <w:rFonts w:ascii="Times New Roman" w:hAnsi="Times New Roman" w:eastAsia="宋体" w:cs="Times New Roman"/>
      <w:b/>
      <w:kern w:val="2"/>
      <w:sz w:val="21"/>
      <w:szCs w:val="21"/>
    </w:rPr>
  </w:style>
  <w:style w:type="character" w:customStyle="1" w:styleId="48">
    <w:name w:val="日期 字符"/>
    <w:basedOn w:val="16"/>
    <w:link w:val="9"/>
    <w:qFormat/>
    <w:uiPriority w:val="0"/>
    <w:rPr>
      <w:rFonts w:ascii="Times New Roman" w:hAnsi="Times New Roman" w:eastAsia="宋体" w:cs="Times New Roman"/>
      <w:kern w:val="2"/>
      <w:sz w:val="28"/>
      <w:szCs w:val="28"/>
    </w:rPr>
  </w:style>
  <w:style w:type="character" w:customStyle="1" w:styleId="49">
    <w:name w:val="正文(首行缩进) Char"/>
    <w:link w:val="50"/>
    <w:qFormat/>
    <w:uiPriority w:val="0"/>
    <w:rPr>
      <w:color w:val="000000"/>
      <w:sz w:val="24"/>
      <w:szCs w:val="24"/>
    </w:rPr>
  </w:style>
  <w:style w:type="paragraph" w:customStyle="1" w:styleId="50">
    <w:name w:val="正文(首行缩进)"/>
    <w:basedOn w:val="1"/>
    <w:link w:val="49"/>
    <w:qFormat/>
    <w:uiPriority w:val="0"/>
    <w:pPr>
      <w:adjustRightInd w:val="0"/>
      <w:ind w:firstLine="540" w:firstLineChars="225"/>
      <w:textAlignment w:val="baseline"/>
    </w:pPr>
    <w:rPr>
      <w:rFonts w:asciiTheme="minorHAnsi" w:hAnsiTheme="minorHAnsi" w:eastAsiaTheme="minorEastAsia" w:cstheme="minorBidi"/>
      <w:color w:val="000000"/>
      <w:kern w:val="0"/>
      <w:szCs w:val="24"/>
    </w:rPr>
  </w:style>
  <w:style w:type="character" w:customStyle="1" w:styleId="51">
    <w:name w:val="textbig1"/>
    <w:qFormat/>
    <w:uiPriority w:val="0"/>
    <w:rPr>
      <w:sz w:val="18"/>
      <w:szCs w:val="18"/>
    </w:rPr>
  </w:style>
  <w:style w:type="paragraph" w:customStyle="1" w:styleId="52">
    <w:name w:val="标题111"/>
    <w:qFormat/>
    <w:uiPriority w:val="0"/>
    <w:pPr>
      <w:widowControl w:val="0"/>
      <w:autoSpaceDE w:val="0"/>
      <w:autoSpaceDN w:val="0"/>
      <w:adjustRightInd w:val="0"/>
      <w:spacing w:after="0" w:line="360" w:lineRule="auto"/>
      <w:ind w:firstLine="200" w:firstLineChars="200"/>
      <w:jc w:val="both"/>
    </w:pPr>
    <w:rPr>
      <w:rFonts w:ascii="Times New Roman" w:hAnsi="Times New Roman" w:eastAsia="宋体" w:cs="宋体"/>
      <w:b/>
      <w:color w:val="000000"/>
      <w:sz w:val="24"/>
      <w:szCs w:val="24"/>
      <w:lang w:val="en-US" w:eastAsia="zh-CN" w:bidi="ar-SA"/>
    </w:rPr>
  </w:style>
  <w:style w:type="paragraph" w:customStyle="1" w:styleId="53">
    <w:name w:val="Default"/>
    <w:qFormat/>
    <w:uiPriority w:val="0"/>
    <w:pPr>
      <w:widowControl w:val="0"/>
      <w:autoSpaceDE w:val="0"/>
      <w:autoSpaceDN w:val="0"/>
      <w:adjustRightInd w:val="0"/>
      <w:spacing w:after="0" w:line="240" w:lineRule="auto"/>
    </w:pPr>
    <w:rPr>
      <w:rFonts w:ascii="宋体" w:cs="宋体" w:hAnsiTheme="minorHAnsi" w:eastAsiaTheme="minorEastAsia"/>
      <w:color w:val="000000"/>
      <w:sz w:val="24"/>
      <w:szCs w:val="24"/>
      <w:lang w:val="en-US" w:eastAsia="zh-CN" w:bidi="ar-SA"/>
    </w:rPr>
  </w:style>
  <w:style w:type="paragraph" w:customStyle="1" w:styleId="54">
    <w:name w:val="样式2"/>
    <w:basedOn w:val="1"/>
    <w:qFormat/>
    <w:uiPriority w:val="0"/>
    <w:pPr>
      <w:adjustRightInd w:val="0"/>
      <w:spacing w:line="240" w:lineRule="auto"/>
      <w:ind w:left="170"/>
      <w:jc w:val="left"/>
      <w:textAlignment w:val="baseline"/>
    </w:pPr>
    <w:rPr>
      <w:b/>
      <w:kern w:val="0"/>
    </w:rPr>
  </w:style>
  <w:style w:type="paragraph" w:customStyle="1" w:styleId="55">
    <w:name w:val="Normal+2"/>
    <w:basedOn w:val="53"/>
    <w:next w:val="53"/>
    <w:qFormat/>
    <w:uiPriority w:val="99"/>
    <w:rPr>
      <w:rFonts w:ascii="Times New Roman" w:hAnsi="Times New Roman" w:cs="Times New Roman"/>
      <w:color w:val="auto"/>
    </w:rPr>
  </w:style>
  <w:style w:type="character" w:customStyle="1" w:styleId="56">
    <w:name w:val="liwidth1"/>
    <w:basedOn w:val="16"/>
    <w:qFormat/>
    <w:uiPriority w:val="0"/>
    <w:rPr>
      <w:color w:val="005087"/>
    </w:rPr>
  </w:style>
  <w:style w:type="character" w:customStyle="1" w:styleId="57">
    <w:name w:val="批注文字 字符"/>
    <w:basedOn w:val="16"/>
    <w:link w:val="5"/>
    <w:semiHidden/>
    <w:qFormat/>
    <w:uiPriority w:val="99"/>
    <w:rPr>
      <w:rFonts w:ascii="Times New Roman" w:hAnsi="Times New Roman" w:eastAsia="宋体" w:cs="Times New Roman"/>
      <w:kern w:val="2"/>
      <w:sz w:val="24"/>
      <w:szCs w:val="20"/>
    </w:rPr>
  </w:style>
  <w:style w:type="character" w:customStyle="1" w:styleId="58">
    <w:name w:val="批注主题 字符"/>
    <w:basedOn w:val="57"/>
    <w:link w:val="13"/>
    <w:semiHidden/>
    <w:qFormat/>
    <w:uiPriority w:val="99"/>
    <w:rPr>
      <w:rFonts w:ascii="Times New Roman" w:hAnsi="Times New Roman" w:eastAsia="宋体" w:cs="Times New Roman"/>
      <w:b/>
      <w:bCs/>
      <w:kern w:val="2"/>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5A2BE2-2FA6-4AE8-9520-499C6CF2E0EE}">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44</Pages>
  <Words>3433</Words>
  <Characters>19570</Characters>
  <Lines>163</Lines>
  <Paragraphs>45</Paragraphs>
  <TotalTime>5</TotalTime>
  <ScaleCrop>false</ScaleCrop>
  <LinksUpToDate>false</LinksUpToDate>
  <CharactersWithSpaces>22958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2019-03-08T08:48:00Z</dcterms:created>
  <dc:creator>希帝</dc:creator>
  <cp:lastModifiedBy>Administrator</cp:lastModifiedBy>
  <dcterms:modified xsi:type="dcterms:W3CDTF">2020-04-28T08:25:25Z</dcterms:modified>
  <cp:revision>966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