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昌吉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市经营性人力资源服务机构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年度报告相关情况公示表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 xml:space="preserve"> </w:t>
      </w:r>
    </w:p>
    <w:p>
      <w:pPr>
        <w:pStyle w:val="2"/>
        <w:rPr>
          <w:rFonts w:hint="default"/>
        </w:rPr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新疆巾帼众心人力资源服务有限公司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张皓成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昌吉市建国西路和谐国际广场G座21层2113室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default"/>
        </w:rPr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新疆巾帼众心物业服务有限责任公司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张皓成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昌吉市建国西路和谐国际广场G座21层2113室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昌吉市蓝海人力资源服务有限公司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刘咏萍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昌吉市天润酒店对面建行楼4-4012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昌吉州创铭景利人力资源服务有限公司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韩丹丹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昌吉市老州社保局旁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新疆同德人力资源有限公司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刘娟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南公园西路小三四工一村商务楼6-606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新疆亚中人力资源服务有限公司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唐杰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昌吉市乌伊西路106号亚中美居10楼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新疆东硅人才劳务有限责任公司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王东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昌吉市建国西路56号小区东升花园1号楼1单元303室（123区1丘12栋）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昌吉市信而泰人力资源有限公司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马燕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昌吉市建设路水电车队院内186号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新疆天合远景人力资源有限公司昌吉分公司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禹玲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昌吉市长宁南路鸿泽大厦1-604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新疆优尔蓝人力资源服务有限公司昌吉分公司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董强 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昌吉高新技术产业开发区科技大道9号综合办公室339号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新疆诺德建筑劳务有限公司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赵惠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昌吉市乌伊西路239号（客运西站）第二层202室、203室（34区2丘8栋）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60C67"/>
    <w:rsid w:val="0A264AB2"/>
    <w:rsid w:val="21733A06"/>
    <w:rsid w:val="31160C67"/>
    <w:rsid w:val="4ECB1DE5"/>
    <w:rsid w:val="602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微软雅黑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2022-06-29T11:40:00Z</dcterms:created>
  <dc:creator>阳光[太阳]</dc:creator>
  <cp:lastModifiedBy>孤独成瘾1388933140</cp:lastModifiedBy>
  <dcterms:modified xsi:type="dcterms:W3CDTF">2022-06-30T02:48:54Z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