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368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w:t>
      </w:r>
    </w:p>
    <w:p w14:paraId="6BFD2E46">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default" w:ascii="Times New Roman" w:hAnsi="Times New Roman" w:eastAsia="仿宋_GB2312" w:cs="Times New Roman"/>
          <w:color w:val="000000"/>
          <w:sz w:val="32"/>
          <w:szCs w:val="32"/>
          <w:lang w:eastAsia="zh-CN"/>
        </w:rPr>
      </w:pPr>
    </w:p>
    <w:p w14:paraId="075DBC86">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outlineLvl w:val="0"/>
        <w:rPr>
          <w:rFonts w:hint="default" w:ascii="Times New Roman" w:hAnsi="Times New Roman" w:eastAsia="方正小标宋简体" w:cs="Times New Roman"/>
          <w:color w:val="000000"/>
          <w:sz w:val="44"/>
          <w:szCs w:val="44"/>
        </w:rPr>
      </w:pPr>
      <w:bookmarkStart w:id="0" w:name="_GoBack"/>
      <w:r>
        <w:rPr>
          <w:rFonts w:hint="default" w:ascii="Times New Roman" w:hAnsi="Times New Roman" w:eastAsia="方正小标宋简体" w:cs="Times New Roman"/>
          <w:color w:val="000000"/>
          <w:sz w:val="44"/>
          <w:szCs w:val="44"/>
          <w:lang w:eastAsia="zh-CN"/>
        </w:rPr>
        <w:t>2025</w:t>
      </w:r>
      <w:r>
        <w:rPr>
          <w:rFonts w:hint="default" w:ascii="Times New Roman" w:hAnsi="Times New Roman" w:eastAsia="方正小标宋简体" w:cs="Times New Roman"/>
          <w:color w:val="000000"/>
          <w:sz w:val="44"/>
          <w:szCs w:val="44"/>
        </w:rPr>
        <w:t>年“数据要素</w:t>
      </w:r>
      <w:r>
        <w:rPr>
          <w:rFonts w:hint="eastAsia" w:ascii="仿宋_GB2312" w:hAnsi="仿宋_GB2312" w:eastAsia="仿宋_GB2312" w:cs="仿宋_GB2312"/>
          <w:color w:val="000000"/>
          <w:sz w:val="44"/>
          <w:szCs w:val="44"/>
          <w:lang w:eastAsia="zh-CN"/>
        </w:rPr>
        <w:t>×</w:t>
      </w:r>
      <w:r>
        <w:rPr>
          <w:rFonts w:hint="default" w:ascii="Times New Roman" w:hAnsi="Times New Roman" w:eastAsia="方正小标宋简体" w:cs="Times New Roman"/>
          <w:color w:val="000000"/>
          <w:sz w:val="44"/>
          <w:szCs w:val="44"/>
        </w:rPr>
        <w:t>”大赛</w:t>
      </w:r>
      <w:r>
        <w:rPr>
          <w:rFonts w:hint="eastAsia" w:eastAsia="方正小标宋简体" w:cs="Times New Roman"/>
          <w:color w:val="000000"/>
          <w:sz w:val="44"/>
          <w:szCs w:val="44"/>
          <w:lang w:val="en-US" w:eastAsia="zh-CN"/>
        </w:rPr>
        <w:t>新疆分赛</w:t>
      </w:r>
      <w:r>
        <w:rPr>
          <w:rFonts w:hint="default" w:ascii="Times New Roman" w:hAnsi="Times New Roman" w:eastAsia="方正小标宋简体" w:cs="Times New Roman"/>
          <w:color w:val="000000"/>
          <w:sz w:val="44"/>
          <w:szCs w:val="44"/>
        </w:rPr>
        <w:t>赛题指南</w:t>
      </w:r>
      <w:bookmarkEnd w:id="0"/>
    </w:p>
    <w:p w14:paraId="078180C7">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outlineLvl w:val="0"/>
        <w:rPr>
          <w:rFonts w:hint="default" w:ascii="Times New Roman" w:hAnsi="Times New Roman" w:eastAsia="方正小标宋简体" w:cs="Times New Roman"/>
          <w:color w:val="000000"/>
          <w:sz w:val="44"/>
          <w:szCs w:val="44"/>
        </w:rPr>
      </w:pPr>
    </w:p>
    <w:p w14:paraId="384DDC0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赛道一：数据要素</w:t>
      </w:r>
      <w:r>
        <w:rPr>
          <w:rFonts w:hint="eastAsia" w:ascii="仿宋_GB2312" w:hAnsi="仿宋_GB2312" w:eastAsia="仿宋_GB2312" w:cs="仿宋_GB2312"/>
          <w:color w:val="000000"/>
          <w:sz w:val="32"/>
          <w:szCs w:val="32"/>
          <w:lang w:eastAsia="zh-CN"/>
        </w:rPr>
        <w:t>×</w:t>
      </w:r>
      <w:r>
        <w:rPr>
          <w:rFonts w:hint="default" w:ascii="Times New Roman" w:hAnsi="Times New Roman" w:eastAsia="黑体" w:cs="Times New Roman"/>
          <w:color w:val="000000"/>
          <w:sz w:val="32"/>
          <w:szCs w:val="32"/>
        </w:rPr>
        <w:t>工业制造领域赛题指南</w:t>
      </w:r>
    </w:p>
    <w:p w14:paraId="66CF388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一、提升创新研发能力，推动制造高端化发展</w:t>
      </w:r>
    </w:p>
    <w:p w14:paraId="4107B4D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数据驱动型创新研发模式，基于设计、仿真、实验、生产、运行等多维度数据实现产品研发和工艺创新，推动制造高端化发展。</w:t>
      </w:r>
    </w:p>
    <w:p w14:paraId="474C97D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二、提高工业制造决策科学性，降本提质增效</w:t>
      </w:r>
    </w:p>
    <w:p w14:paraId="1610D25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完善数据采集、管理、分析和利用，在生产制造和企业运营主要过程采用基于数据的科学决策，实现降低成本、提高质量、效益提升的多重目标。</w:t>
      </w:r>
    </w:p>
    <w:p w14:paraId="53497A4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三、提升服务型制造能力，增强用户满意度</w:t>
      </w:r>
    </w:p>
    <w:p w14:paraId="33A6072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加强产品全生命周期数据采集，整合设计、生产、运行数据，增强高端化生产性服务能力，提升产品可靠性和运行性能，增强产品用户满意度。</w:t>
      </w:r>
    </w:p>
    <w:p w14:paraId="05D0F1C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四、稳固产业链供应链，强化价值协同</w:t>
      </w:r>
    </w:p>
    <w:p w14:paraId="5DCAB0C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促进产能、采购、库存、物流等不同制造环节，以及供应链上下游等数据共享和可信流通，探索协同设计、协同制造、协同服务等新模式，提高区域间制造资源配置效率，提升产业链、供应链稳定性。</w:t>
      </w:r>
    </w:p>
    <w:p w14:paraId="1F230D3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五、探索数据跨主体协同利用机制</w:t>
      </w:r>
    </w:p>
    <w:p w14:paraId="6AD129A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鼓励企业间建立公平互惠互利的流通规则制度，探索可信数据空间、隐私计算等技术手段，完善数据治理体系，提高数据资源质量，创新流通规则机制，促进数据在组织内部不同部门及组织内外更大范围流通和协同利用。</w:t>
      </w:r>
    </w:p>
    <w:p w14:paraId="5816E9B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六、工业领域高质量数据集建设</w:t>
      </w:r>
    </w:p>
    <w:p w14:paraId="2BA772D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聚焦新材料、机械、电子、汽车等行业，围绕基础零部件、核心基础元器件、关键基础材料、整机装备与系统，打造来源主体丰富、数据标注准确、应用成效突出的高质量数据集，支撑人工智能和大模型在工业及更多行业应用。</w:t>
      </w:r>
    </w:p>
    <w:p w14:paraId="206F2A4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_GB2312" w:cs="Times New Roman"/>
          <w:b w:val="0"/>
          <w:bCs w:val="0"/>
          <w:sz w:val="32"/>
          <w:szCs w:val="32"/>
          <w:lang w:val="en-US" w:eastAsia="zh-CN"/>
        </w:rPr>
        <w:br w:type="page"/>
      </w:r>
      <w:r>
        <w:rPr>
          <w:rFonts w:hint="default" w:ascii="Times New Roman" w:hAnsi="Times New Roman" w:eastAsia="黑体" w:cs="Times New Roman"/>
          <w:color w:val="000000"/>
          <w:sz w:val="32"/>
          <w:szCs w:val="32"/>
        </w:rPr>
        <w:t>赛道二：数据要素</w:t>
      </w:r>
      <w:r>
        <w:rPr>
          <w:rFonts w:hint="eastAsia" w:ascii="仿宋_GB2312" w:hAnsi="仿宋_GB2312" w:eastAsia="仿宋_GB2312" w:cs="仿宋_GB2312"/>
          <w:color w:val="000000"/>
          <w:sz w:val="32"/>
          <w:szCs w:val="32"/>
          <w:lang w:eastAsia="zh-CN"/>
        </w:rPr>
        <w:t>×</w:t>
      </w:r>
      <w:r>
        <w:rPr>
          <w:rFonts w:hint="default" w:ascii="Times New Roman" w:hAnsi="Times New Roman" w:eastAsia="黑体" w:cs="Times New Roman"/>
          <w:color w:val="000000"/>
          <w:sz w:val="32"/>
          <w:szCs w:val="32"/>
        </w:rPr>
        <w:t>现代农业领域赛题指南</w:t>
      </w:r>
    </w:p>
    <w:p w14:paraId="5E787A9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一、促进农业生产数智化水平提升</w:t>
      </w:r>
    </w:p>
    <w:p w14:paraId="65F40B2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融合利用北斗导航、遥感、气象、土壤、农事作业、农情监测、灾害、农作物病虫害、动物疫病、市场、近海捕捞生产等各类数据，促进数智技术与农业生产技术和装备的集成应用，为农业生产管理、生产经营主体和相关服务企业提供农业生产数智化场景支撑，提高粮食和重要农产品生产效率，促进农业发展全面绿色转型。</w:t>
      </w:r>
    </w:p>
    <w:p w14:paraId="318BECF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二、推动农机作业服务提质增效降本</w:t>
      </w:r>
    </w:p>
    <w:p w14:paraId="20C4E7B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农业生产环节，通过融合利用物联网、大数据、人工智能等技术和农机作业、农情、天气等各类数据，辅助农机化生产管理决策，为农业生产经营主体和相关服务企业提供数智化场景支撑，推动农机作业服务提质增效降本，促进智能农机装备应用生产一线，促进农业产前、产中、产后数据融合应用，提升农业生产过程智能化、数字化水平，推动农业生产现代化。</w:t>
      </w:r>
    </w:p>
    <w:p w14:paraId="269AEE5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三、促进农产品追溯管理能力提高</w:t>
      </w:r>
    </w:p>
    <w:p w14:paraId="19D937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设计出一套完整的品牌农产品信息化追溯方案，包括但不限于：开展品牌授权管理，便利的原料生产、收购加工、包装等环节数据采集与存储方案，关键环节中时间、位置与设备戳的技术实现，建立数据模型解决造假和信息不符问题，向消费者可视化展示品牌农产品供应链的核心环节和生物特征值指标，实现从生产到销售全过程中的年份、产地、品种、质量安全（承诺达标合格证）、产品品质、生产方式、检测报告、加工过程、运输方式、销售渠道、包装防伪工艺等关键信息的全面追溯。</w:t>
      </w:r>
    </w:p>
    <w:p w14:paraId="5BD302E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四、促进产业链数据融通创新能力提高</w:t>
      </w:r>
    </w:p>
    <w:p w14:paraId="169087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通过综合利用农产品生产、销售、加工等数据，为农业生产经营主体提供智慧种养、智慧捕捞、产销对接、疫病防治、行情信息、跨区作业、一站式采购、供应链金融等创新数据和信息服务。</w:t>
      </w:r>
    </w:p>
    <w:p w14:paraId="7D0A2B8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五、促进培育以需定产新模式</w:t>
      </w:r>
    </w:p>
    <w:p w14:paraId="33403E1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有效融合分析应用农业与电商平台、农产品批发市场、商超、物流企业等商贸流通数据，为农业生产经营主体和相关服务企业提供新模式及场景支撑，向农产品生产端、加工端、消费端反馈农产品信息，辅助农业生产决策，促进以需定产。</w:t>
      </w:r>
    </w:p>
    <w:p w14:paraId="6A22187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六、促进农业生产抗风险能力提高</w:t>
      </w:r>
    </w:p>
    <w:p w14:paraId="09C8F6B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通过综合利用产能、运输、加工、贸易、消费等数据，为农业生产经营主体在粮食、生猪、果蔬等重点领域，提供自然灾害、疫病传播、价格波动等农业监测预警服务。</w:t>
      </w:r>
    </w:p>
    <w:p w14:paraId="0E07E99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七、促进农村土地利用优化与精准服务</w:t>
      </w:r>
    </w:p>
    <w:p w14:paraId="76D9248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整合土地数据、环境数据、人口数据，构建土地利用效率评估模型，针对低效用地提出优化建议。开发可视化决策系统（可基于农业农村大数据平台），为地方政府提供基于数据的土地利用优化方案，支持精准施策。</w:t>
      </w:r>
    </w:p>
    <w:p w14:paraId="240C350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八、打造乡村治理数字化服务场景</w:t>
      </w:r>
    </w:p>
    <w:p w14:paraId="7C95C2A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打通人口、基础设施、经济等多维数据，建立乡村治理大数据服务场景模型及解决方案，实现多源数据融合和治理状态实时监测。提供基于数据的政策建议和精准服务方案，提高乡村治理水平。</w:t>
      </w:r>
    </w:p>
    <w:p w14:paraId="78EF4F7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九、建设农业农村政策智能问答模型</w:t>
      </w:r>
    </w:p>
    <w:p w14:paraId="7945A13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系统汇集各级各地的农业农村政策，开发文字类大模型，对政策分主题、分地域归集、标记，建立面对农村居民、农业经营主体、公文撰写人员等相关主体的一站式政策咨询平台，方便多场景政策查询和咨询，有效提升农业农村政策的贯彻执行水平。</w:t>
      </w:r>
    </w:p>
    <w:p w14:paraId="68F4BF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十、基于农业数据资源的智能搜索与推荐系统</w:t>
      </w:r>
    </w:p>
    <w:p w14:paraId="6556B4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开发一个集成多源农业数据的智能搜索与推荐系统，能够根据用户需求（如作物种植、气候预测、市场价格等）提供精准的数据搜索结果，并通过算法推荐相关数据，以提升农业生产决策的效率和准确性，推动农业数据的有效利用。</w:t>
      </w:r>
    </w:p>
    <w:p w14:paraId="3CDF71E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sz w:val="32"/>
          <w:szCs w:val="32"/>
          <w:lang w:val="en-US" w:eastAsia="zh-CN"/>
        </w:rPr>
        <w:br w:type="page"/>
      </w:r>
      <w:r>
        <w:rPr>
          <w:rFonts w:hint="default" w:ascii="Times New Roman" w:hAnsi="Times New Roman" w:eastAsia="黑体" w:cs="Times New Roman"/>
          <w:color w:val="000000"/>
          <w:sz w:val="32"/>
          <w:szCs w:val="32"/>
        </w:rPr>
        <w:t>赛道三：数据要素</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黑体" w:cs="Times New Roman"/>
          <w:color w:val="000000"/>
          <w:sz w:val="32"/>
          <w:szCs w:val="32"/>
        </w:rPr>
        <w:t>商贸流通领域赛题指南</w:t>
      </w:r>
    </w:p>
    <w:p w14:paraId="3F70DFA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加强数据整合利用，增强产供链协同</w:t>
      </w:r>
      <w:r>
        <w:rPr>
          <w:rFonts w:hint="default" w:ascii="Times New Roman" w:hAnsi="Times New Roman" w:eastAsia="黑体" w:cs="Times New Roman"/>
          <w:sz w:val="32"/>
          <w:szCs w:val="32"/>
          <w:lang w:val="en-US" w:eastAsia="zh-CN"/>
        </w:rPr>
        <w:t>效益</w:t>
      </w:r>
    </w:p>
    <w:p w14:paraId="796DF7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鼓励电商平台与各类商贸经营主体、相关服务企业深度融合，依托客流、消费行为、交通状况、人文特征等市场环境数据，打造集数据收集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析、决策、精准推送和动态反馈的闭环消费生态。支持零售电商和产业电商企业、国家电子商务示范基地、跨境电商产业园区、传统商贸流通企业加强数据互通，汇聚订单、制造、销售、研发等数据，强化采供对接，提升中小制造企业上下游协同、柔性制造能力，建强电商产供链</w:t>
      </w:r>
      <w:r>
        <w:rPr>
          <w:rFonts w:hint="default" w:ascii="Times New Roman" w:hAnsi="Times New Roman" w:eastAsia="仿宋_GB2312" w:cs="Times New Roman"/>
          <w:sz w:val="32"/>
          <w:szCs w:val="32"/>
          <w:lang w:eastAsia="zh-CN"/>
        </w:rPr>
        <w:t>。</w:t>
      </w:r>
    </w:p>
    <w:p w14:paraId="0F0C0F3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强化数据要素赋能，创新丰富消费场景</w:t>
      </w:r>
    </w:p>
    <w:p w14:paraId="634EDA7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深入挖掘消费者多元化需求，围绕数字产品、数字服务、数字渠道、数字内容，创新商旅文体健融合发展的多元化消费场景，发展品质电商、壮大数字消费。引导企业赋能传统零售业，提供定制化解决方案，通过即时配送、智慧零售等加速数字化转型。充分发挥数据要素对人工智能大模型等基础支撑作用，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人工智能+电商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通过打造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算法、共赢规则，培育数字生活新消费。整合商业、信用、品牌、标准等基础数据，驱动商贸流通领域各行业垂直大模型开发和训练，促进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人工智能+消费</w:t>
      </w:r>
      <w:r>
        <w:rPr>
          <w:rFonts w:hint="default" w:ascii="Times New Roman" w:hAnsi="Times New Roman" w:eastAsia="仿宋_GB2312" w:cs="Times New Roman"/>
          <w:sz w:val="32"/>
          <w:szCs w:val="32"/>
          <w:lang w:eastAsia="zh-CN"/>
        </w:rPr>
        <w:t>”。</w:t>
      </w:r>
    </w:p>
    <w:p w14:paraId="0595EEF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三、提高行业国际化服务能力与竞争力</w:t>
      </w:r>
    </w:p>
    <w:p w14:paraId="57D093B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通过交易、物流、支付等数据融合利用，提升跨境电商及相关企业供应链综合服务、跨境身份认证、全球供应链融资等能力，推动企业国际化发展。鼓励电商企业依托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丝路电商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合作先行区、跨境电商综试区等各类公共服务载体，推</w:t>
      </w:r>
      <w:r>
        <w:rPr>
          <w:rFonts w:hint="default" w:ascii="Times New Roman" w:hAnsi="Times New Roman" w:eastAsia="仿宋_GB2312" w:cs="Times New Roman"/>
          <w:sz w:val="32"/>
          <w:szCs w:val="32"/>
          <w:lang w:val="en-US" w:eastAsia="zh-CN"/>
        </w:rPr>
        <w:t>进</w:t>
      </w:r>
      <w:r>
        <w:rPr>
          <w:rFonts w:hint="default" w:ascii="Times New Roman" w:hAnsi="Times New Roman" w:eastAsia="仿宋_GB2312" w:cs="Times New Roman"/>
          <w:sz w:val="32"/>
          <w:szCs w:val="32"/>
        </w:rPr>
        <w:t>国际数据服务、电子单证国际标准制定、数字技术创新应用等，打造电子商务领域高水平开放生动实践。</w:t>
      </w:r>
    </w:p>
    <w:p w14:paraId="490F8D3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四、强化数据赋能汽车以旧换新</w:t>
      </w:r>
    </w:p>
    <w:p w14:paraId="13D71BD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汽车置换补贴申请更新平台，强化现代信息技术手段运用，最大限度优化业务流程、简化申请材料、降低办事成本，加强部门信息共享和核查比对，按统一标准与全国汽车以旧换新补贴申请平台实现对接，形成数据横向、纵向良好互动。</w:t>
      </w:r>
    </w:p>
    <w:p w14:paraId="7CAB1B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五、提高成品油流通数字化监管水平</w:t>
      </w:r>
    </w:p>
    <w:p w14:paraId="67701A6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积极运用大数据、物联网等技术手段，建立成品油流通大数据管理平台，实现成品油零售经营资格</w:t>
      </w:r>
      <w:r>
        <w:rPr>
          <w:rFonts w:hint="default" w:ascii="Times New Roman" w:hAnsi="Times New Roman" w:eastAsia="仿宋_GB2312" w:cs="Times New Roman"/>
          <w:sz w:val="32"/>
          <w:szCs w:val="32"/>
          <w:highlight w:val="none"/>
        </w:rPr>
        <w:t>在线审批和批发、仓储经营企业在线备案，加油站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进、销、存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数据实时采集，同时定期归集共享成品油生产经营运输、开通成品油发票开具模块、相关部门危险化学品经营许可证的许可范围包含成品油等企业的基本信息，相关</w:t>
      </w:r>
      <w:r>
        <w:rPr>
          <w:rFonts w:hint="default" w:ascii="Times New Roman" w:hAnsi="Times New Roman" w:eastAsia="仿宋_GB2312" w:cs="Times New Roman"/>
          <w:sz w:val="32"/>
          <w:szCs w:val="32"/>
        </w:rPr>
        <w:t>部门危险化学品，构建涵盖批发、仓储、运输、零售等环节的全链条、可追溯的成品油动态数据信息采集系统。</w:t>
      </w:r>
    </w:p>
    <w:p w14:paraId="6A12B28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六、大数据赋能生活必需品市场保供</w:t>
      </w:r>
    </w:p>
    <w:p w14:paraId="57231DC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商贸流通企业打造大数据应用场景，在生活必需品保供物资方面提升数据分析、整合能力，与政府数据平台加强对接，实现数据、资源互联互通。引导企业聚焦粮、油、肉、蛋、奶、果、蔬、方便食品等重点品种，推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进、销、存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量和价格数据动态采集、分析，发挥数字化智能治理优势，形成区域统一的信息化、智能化应用系统，做到分析准确、响应及时、调度迅速、统筹有力，保障市场供应充足、有序，满足群众生活必需品消费需求。</w:t>
      </w:r>
    </w:p>
    <w:p w14:paraId="5C0FD53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七、加强数智技术推广运用，夯实商贸流通数据基础</w:t>
      </w:r>
    </w:p>
    <w:p w14:paraId="2DC3901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推动步行街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商圈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智慧化发展，通过建立大数据平台，加强客流、销售等数据实时监测和分析，运用数据要素指导步行街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商圈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支持县域流通企业数字化转型，对具备条件的农村商业网点进行数字化改造，提升县域商业网点运行效率。开展商品市场基础设施数字化升级，打造智慧商店、网订店取、无接触交易等零售业新模式新场景，用数字要素支撑批发零售业高质量发展。发展数智供应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一链一策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推进商贸流通行业供应链数字化、智能化、可视化改造，打破供应链上数据孤岛和数据壁垒，提升供应链运行效率与韧性。</w:t>
      </w:r>
    </w:p>
    <w:p w14:paraId="6D6641A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color w:val="000000"/>
          <w:sz w:val="32"/>
          <w:szCs w:val="32"/>
        </w:rPr>
        <w:t>赛道四：数据要素</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黑体" w:cs="Times New Roman"/>
          <w:color w:val="000000"/>
          <w:sz w:val="32"/>
          <w:szCs w:val="32"/>
        </w:rPr>
        <w:t>交通运输领域赛题指南</w:t>
      </w:r>
    </w:p>
    <w:p w14:paraId="4CE89BE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一、公路水路基础设施数字化转型升级</w:t>
      </w:r>
    </w:p>
    <w:p w14:paraId="684CA88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健全基础设施运营服务中交通与公安、气象、应急、数据、自然资源等部门的协同联动管理和服务机制，加强各类交通网络基础设施的数据跨区域衔接，探索建立行业数据分类分级、确权授权使用、市场化流通等运行机制。在智慧扩容方面实现通行效率有效提升，在安全增效方面实现突发</w:t>
      </w:r>
      <w:r>
        <w:rPr>
          <w:rFonts w:hint="default" w:ascii="Times New Roman" w:hAnsi="Times New Roman" w:eastAsia="仿宋_GB2312" w:cs="Times New Roman"/>
          <w:sz w:val="32"/>
          <w:szCs w:val="32"/>
          <w:lang w:val="en-US" w:eastAsia="zh-CN"/>
        </w:rPr>
        <w:t>事件</w:t>
      </w:r>
      <w:r>
        <w:rPr>
          <w:rFonts w:hint="default" w:ascii="Times New Roman" w:hAnsi="Times New Roman" w:eastAsia="仿宋_GB2312" w:cs="Times New Roman"/>
          <w:sz w:val="32"/>
          <w:szCs w:val="32"/>
        </w:rPr>
        <w:t>应急响应效率的有效提升。</w:t>
      </w:r>
    </w:p>
    <w:p w14:paraId="4C6F24D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二、提升综合货运枢纽智能化水平</w:t>
      </w:r>
    </w:p>
    <w:p w14:paraId="10F7E97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融合产业链供应链上下游信息、区域交通物流需求、各方式运输组织、交通基础设施布局、综合交通枢纽城市信息等多维数据搭建数据平台</w:t>
      </w:r>
      <w:r>
        <w:rPr>
          <w:rFonts w:hint="default" w:ascii="Times New Roman" w:hAnsi="Times New Roman" w:eastAsia="仿宋_GB2312" w:cs="Times New Roman"/>
          <w:sz w:val="32"/>
          <w:szCs w:val="32"/>
        </w:rPr>
        <w:t>，综合运用数据挖掘、机器学习、深度学习等人工智能技术，对数据进行智能分析与模式识别，构建相关数据模型。探索综合货运枢纽智慧化、网联化方向，为交通物流枢纽信息资源全链条便捷共享打好基础。</w:t>
      </w:r>
    </w:p>
    <w:p w14:paraId="2AB9DB7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三、基于多源数据的农村公路运行状况动态识别分析</w:t>
      </w:r>
    </w:p>
    <w:p w14:paraId="0B2B69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形成农村公路运行状态动态识别分析技术方案，辅助农村公路基层管养人员更好地管理和养护农村公路。</w:t>
      </w:r>
    </w:p>
    <w:p w14:paraId="4F7E321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四、高速公路重大突发事件多源数据分析</w:t>
      </w:r>
    </w:p>
    <w:p w14:paraId="59E6193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有效监测高速公路运行情况，及时预警突发事件，</w:t>
      </w:r>
      <w:r>
        <w:rPr>
          <w:rFonts w:hint="default" w:ascii="Times New Roman" w:hAnsi="Times New Roman" w:eastAsia="仿宋_GB2312" w:cs="Times New Roman"/>
          <w:sz w:val="32"/>
          <w:szCs w:val="32"/>
          <w:lang w:val="en-US" w:eastAsia="zh-CN"/>
        </w:rPr>
        <w:t>有效防范化解重大风险，提高高速公路安全运行水平</w:t>
      </w:r>
      <w:r>
        <w:rPr>
          <w:rFonts w:hint="default" w:ascii="Times New Roman" w:hAnsi="Times New Roman" w:eastAsia="仿宋_GB2312" w:cs="Times New Roman"/>
          <w:sz w:val="32"/>
          <w:szCs w:val="32"/>
        </w:rPr>
        <w:t>。</w:t>
      </w:r>
    </w:p>
    <w:p w14:paraId="389824E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五、交通物流运行监测</w:t>
      </w:r>
    </w:p>
    <w:p w14:paraId="7053D4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不同维度的指标监测及建立风险预警模型，支撑政府部门、企业及时掌握交通物流运行态势，开展实时风险监测与预警分析，辅助政府部门及时预防与应急处置、企业科学制定运输调度方案，提升交通物流运行韧性。</w:t>
      </w:r>
    </w:p>
    <w:p w14:paraId="097CB13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六、船舶自动识别系统（AIS）虚假错误信息分析判别</w:t>
      </w:r>
    </w:p>
    <w:p w14:paraId="64C9066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
        </w:rPr>
      </w:pPr>
      <w:r>
        <w:rPr>
          <w:rFonts w:hint="default" w:ascii="Times New Roman" w:hAnsi="Times New Roman" w:eastAsia="仿宋_GB2312" w:cs="Times New Roman"/>
          <w:sz w:val="32"/>
          <w:szCs w:val="32"/>
          <w:lang w:val="en-US" w:eastAsia="zh"/>
        </w:rPr>
        <w:t>通过分析识别虚假AIS报文和错误的船舶AIS数据，给海事执法提供参考，纠正船舶AIS错误数据信息和打击水上无线电非法AIS报文播发行为，保障水上船舶航行安全。</w:t>
      </w:r>
    </w:p>
    <w:p w14:paraId="733BFF2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七、物流数据开放互联</w:t>
      </w:r>
    </w:p>
    <w:p w14:paraId="4F57BDF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
        </w:rPr>
      </w:pPr>
      <w:r>
        <w:rPr>
          <w:rFonts w:hint="default" w:ascii="Times New Roman" w:hAnsi="Times New Roman" w:eastAsia="仿宋_GB2312" w:cs="Times New Roman"/>
          <w:sz w:val="32"/>
          <w:szCs w:val="32"/>
          <w:lang w:val="en-US" w:eastAsia="zh"/>
        </w:rPr>
        <w:t>聚焦多式联运数据开放互联、制造业、商贸业与物流业数据融合应用、国际物流数据综合服务、国家物流枢纽间数据互联共享等物流数据开放互联典型应用场景，打通政府部门、相关企业及港口、公路、铁路、航空等业务系统数据，创新物流数据交互模式和解决方案，探索建立公益性和市场化有机结合的多层次物流数据开放互联机制，促进物流资源优化配置。</w:t>
      </w:r>
    </w:p>
    <w:p w14:paraId="6A6327F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sz w:val="32"/>
          <w:szCs w:val="32"/>
          <w:lang w:val="en-US" w:eastAsia="zh"/>
        </w:rPr>
        <w:br w:type="page"/>
      </w:r>
      <w:r>
        <w:rPr>
          <w:rFonts w:hint="default" w:ascii="Times New Roman" w:hAnsi="Times New Roman" w:eastAsia="黑体" w:cs="Times New Roman"/>
          <w:color w:val="000000"/>
          <w:sz w:val="32"/>
          <w:szCs w:val="32"/>
        </w:rPr>
        <w:t>赛道五：数据要素</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黑体" w:cs="Times New Roman"/>
          <w:color w:val="000000"/>
          <w:sz w:val="32"/>
          <w:szCs w:val="32"/>
        </w:rPr>
        <w:t>金融服务领域赛题指南</w:t>
      </w:r>
    </w:p>
    <w:p w14:paraId="7BB8BC5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
        </w:rPr>
        <w:t>拓展公共数据应用</w:t>
      </w:r>
    </w:p>
    <w:p w14:paraId="140B7BB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
        </w:rPr>
      </w:pPr>
      <w:r>
        <w:rPr>
          <w:rFonts w:hint="default" w:ascii="Times New Roman" w:hAnsi="Times New Roman" w:eastAsia="仿宋_GB2312" w:cs="Times New Roman"/>
          <w:sz w:val="32"/>
          <w:szCs w:val="32"/>
          <w:lang w:val="en-US" w:eastAsia="zh"/>
        </w:rPr>
        <w:t>基于公共数据挖掘新的业务增长点，推动金融机构业务创新，促进金融机构可持续发展并更好地服务实体经济。同时，借助公共数据建立智能化的风险防控体系，实现对各类金融风险的实时监测、精准预警和有效应对，保障金融机构的稳健运营。</w:t>
      </w:r>
    </w:p>
    <w:p w14:paraId="549D5FC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
        </w:rPr>
        <w:t>提升科技、绿色、普惠、养老</w:t>
      </w:r>
      <w:r>
        <w:rPr>
          <w:rFonts w:hint="default" w:ascii="Times New Roman" w:hAnsi="Times New Roman" w:eastAsia="黑体" w:cs="Times New Roman"/>
          <w:sz w:val="32"/>
          <w:szCs w:val="32"/>
          <w:lang w:val="en-US" w:eastAsia="zh-CN"/>
        </w:rPr>
        <w:t>、数字</w:t>
      </w:r>
      <w:r>
        <w:rPr>
          <w:rFonts w:hint="default" w:ascii="Times New Roman" w:hAnsi="Times New Roman" w:eastAsia="黑体" w:cs="Times New Roman"/>
          <w:sz w:val="32"/>
          <w:szCs w:val="32"/>
          <w:lang w:val="en-US" w:eastAsia="zh"/>
        </w:rPr>
        <w:t>金融服务水平</w:t>
      </w:r>
    </w:p>
    <w:p w14:paraId="6E0C526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
        </w:rPr>
      </w:pPr>
      <w:r>
        <w:rPr>
          <w:rFonts w:hint="default" w:ascii="Times New Roman" w:hAnsi="Times New Roman" w:eastAsia="仿宋_GB2312" w:cs="Times New Roman"/>
          <w:sz w:val="32"/>
          <w:szCs w:val="32"/>
          <w:lang w:val="en-US" w:eastAsia="zh"/>
        </w:rPr>
        <w:t>运用大数据等手段，融合利用多维数据，</w:t>
      </w:r>
      <w:r>
        <w:rPr>
          <w:rFonts w:hint="default" w:ascii="Times New Roman" w:hAnsi="Times New Roman" w:eastAsia="仿宋_GB2312" w:cs="Times New Roman"/>
          <w:sz w:val="32"/>
          <w:szCs w:val="32"/>
          <w:lang w:val="en-US" w:eastAsia="zh-CN"/>
        </w:rPr>
        <w:t>深化金融数字化智能化转型，</w:t>
      </w:r>
      <w:r>
        <w:rPr>
          <w:rFonts w:hint="default" w:ascii="Times New Roman" w:hAnsi="Times New Roman" w:eastAsia="仿宋_GB2312" w:cs="Times New Roman"/>
          <w:sz w:val="32"/>
          <w:szCs w:val="32"/>
          <w:lang w:val="en-US" w:eastAsia="zh"/>
        </w:rPr>
        <w:t>完善对科技、绿色、普惠、养老企业的画像和评级，提升客户识别和营销对接效率，提高风险防控能力，探索创新业务模式，优化金融产品和服务，满足科技企业、绿色企业、中小微企业、养老企业的合理融资需求，</w:t>
      </w:r>
      <w:r>
        <w:rPr>
          <w:rFonts w:hint="default" w:ascii="Times New Roman" w:hAnsi="Times New Roman" w:eastAsia="仿宋_GB2312" w:cs="Times New Roman"/>
          <w:sz w:val="32"/>
          <w:szCs w:val="32"/>
          <w:lang w:val="en-US" w:eastAsia="zh-CN"/>
        </w:rPr>
        <w:t>持续做好金融“五篇大文章”，</w:t>
      </w:r>
      <w:r>
        <w:rPr>
          <w:rFonts w:hint="default" w:ascii="Times New Roman" w:hAnsi="Times New Roman" w:eastAsia="仿宋_GB2312" w:cs="Times New Roman"/>
          <w:sz w:val="32"/>
          <w:szCs w:val="32"/>
          <w:lang w:val="en-US" w:eastAsia="zh"/>
        </w:rPr>
        <w:t>助力</w:t>
      </w:r>
      <w:r>
        <w:rPr>
          <w:rFonts w:hint="default" w:ascii="Times New Roman" w:hAnsi="Times New Roman" w:eastAsia="仿宋_GB2312" w:cs="Times New Roman"/>
          <w:sz w:val="32"/>
          <w:szCs w:val="32"/>
          <w:lang w:val="en-US" w:eastAsia="zh-CN"/>
        </w:rPr>
        <w:t>产业转型升级和经济</w:t>
      </w:r>
      <w:r>
        <w:rPr>
          <w:rFonts w:hint="default" w:ascii="Times New Roman" w:hAnsi="Times New Roman" w:eastAsia="仿宋_GB2312" w:cs="Times New Roman"/>
          <w:sz w:val="32"/>
          <w:szCs w:val="32"/>
          <w:lang w:val="en-US" w:eastAsia="zh"/>
        </w:rPr>
        <w:t>高质量发展。</w:t>
      </w:r>
    </w:p>
    <w:p w14:paraId="1B009B2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三、人工智能条件下的资本市场舆论环境治理</w:t>
      </w:r>
    </w:p>
    <w:p w14:paraId="7B821AB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
        </w:rPr>
      </w:pPr>
      <w:r>
        <w:rPr>
          <w:rFonts w:hint="default" w:ascii="Times New Roman" w:hAnsi="Times New Roman" w:eastAsia="仿宋_GB2312" w:cs="Times New Roman"/>
          <w:sz w:val="32"/>
          <w:szCs w:val="32"/>
          <w:lang w:val="en-US" w:eastAsia="zh"/>
        </w:rPr>
        <w:t>结合资本市场舆论数据的特点与趋势，利用大数据、自然语言处理、人工智能等新型技术手段，研究优化资本市场舆论推荐算法，构建资本市场负面舆论监测预警及“信息茧房”防范机制，充分发挥资本市场正面舆论的数据要素价值，强化资本市场预期管理，坚定对资本市场高质量发展的信心。</w:t>
      </w:r>
    </w:p>
    <w:p w14:paraId="23F6D88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四、融合多维数据发展绿色金融</w:t>
      </w:r>
    </w:p>
    <w:p w14:paraId="038CDA7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
        </w:rPr>
      </w:pPr>
      <w:r>
        <w:rPr>
          <w:rFonts w:hint="default" w:ascii="Times New Roman" w:hAnsi="Times New Roman" w:eastAsia="仿宋_GB2312" w:cs="Times New Roman"/>
          <w:sz w:val="32"/>
          <w:szCs w:val="32"/>
          <w:lang w:val="en-US" w:eastAsia="zh"/>
        </w:rPr>
        <w:t>融合环保、气象、金融等多维数据，构建模型评估金融活动的环境和社会风险。更好发挥资本市场枢纽功能，引导更多资源要素向绿色、低碳领域集聚，提高金融业、环保、社会经济的可持续发展水平。</w:t>
      </w:r>
    </w:p>
    <w:p w14:paraId="5078A4F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五、提高金融服务领域的数据分析能力</w:t>
      </w:r>
    </w:p>
    <w:p w14:paraId="1DB37CD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
        </w:rPr>
      </w:pPr>
      <w:r>
        <w:rPr>
          <w:rFonts w:hint="default" w:ascii="Times New Roman" w:hAnsi="Times New Roman" w:eastAsia="仿宋_GB2312" w:cs="Times New Roman"/>
          <w:sz w:val="32"/>
          <w:szCs w:val="32"/>
          <w:lang w:val="en-US" w:eastAsia="zh"/>
        </w:rPr>
        <w:t>加快建设证券期货金融数据分析平台，通过多维度立体化统计分析，深入挖掘各类数据，提升自动化风险监控水平。数据架构应</w:t>
      </w:r>
      <w:r>
        <w:rPr>
          <w:rFonts w:hint="default" w:ascii="Times New Roman" w:hAnsi="Times New Roman" w:eastAsia="仿宋_GB2312" w:cs="Times New Roman"/>
          <w:sz w:val="32"/>
          <w:szCs w:val="32"/>
          <w:lang w:val="en-US" w:eastAsia="zh-CN"/>
        </w:rPr>
        <w:t>能够</w:t>
      </w:r>
      <w:r>
        <w:rPr>
          <w:rFonts w:hint="default" w:ascii="Times New Roman" w:hAnsi="Times New Roman" w:eastAsia="仿宋_GB2312" w:cs="Times New Roman"/>
          <w:sz w:val="32"/>
          <w:szCs w:val="32"/>
          <w:lang w:val="en-US" w:eastAsia="zh"/>
        </w:rPr>
        <w:t>支持多源异构数据的采集、存储和整合，并满足高并发和大数据量处理的需求</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
        </w:rPr>
        <w:t>数据治理方案应能够保障数据的一致性、准确性、完整性和安全性，并对数据治理的效果进行评估和持续改进。</w:t>
      </w:r>
    </w:p>
    <w:p w14:paraId="2762E8F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sz w:val="32"/>
          <w:szCs w:val="32"/>
          <w:lang w:val="en-US" w:eastAsia="zh"/>
        </w:rPr>
        <w:br w:type="page"/>
      </w:r>
      <w:r>
        <w:rPr>
          <w:rFonts w:hint="default" w:ascii="Times New Roman" w:hAnsi="Times New Roman" w:eastAsia="黑体" w:cs="Times New Roman"/>
          <w:color w:val="000000"/>
          <w:sz w:val="32"/>
          <w:szCs w:val="32"/>
        </w:rPr>
        <w:t>赛道六：数据要素</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黑体" w:cs="Times New Roman"/>
          <w:color w:val="000000"/>
          <w:sz w:val="32"/>
          <w:szCs w:val="32"/>
        </w:rPr>
        <w:t>科技创新领域赛题指南</w:t>
      </w:r>
    </w:p>
    <w:p w14:paraId="59C560E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一、鼓励科学数据汇聚共享</w:t>
      </w:r>
    </w:p>
    <w:p w14:paraId="609F6E6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围绕科学数据开放共享机制，推动海量多源科学数据治理，数据安全与隐私保护等重点场景，促进重大科技基础设施、重大科技项目等产生的各类科学数据有效汇聚、高效治理与互联互通，打造跨领域流通的科学数据协同服务网络，发展综合型、智能化、交互式等新型科学数据发现模式，推动科学数据有序开放共享和融合利用。</w:t>
      </w:r>
    </w:p>
    <w:p w14:paraId="1B0405C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二、推动科技领域人工智能大模型开发</w:t>
      </w:r>
    </w:p>
    <w:p w14:paraId="2D0CA57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围绕科学数据的质量和准确性，科学数据的标注和分类，科技领域大模型的预训练、微调与推理应用等重点问题，深入挖掘各类科学数据和科技文献，通过细粒度知识抽取和多来源知识融合，构建科学知识资源底座，建设高质量语料库和基础科学数据集，支持开展人工智能大模型开发和训练。</w:t>
      </w:r>
    </w:p>
    <w:p w14:paraId="6B45069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三、科学数据助力科学研究和技术创新</w:t>
      </w:r>
    </w:p>
    <w:p w14:paraId="45D2E88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围绕不同领域科学数据的融合利用，科学问题与人工智能等技术的融合，科学数据成果赋能技术创新和产业发展等重点场景，对科学数据融合应用、深入挖掘，提供高质量科学数据资源与知识服务，利用人工智能大模型等新技术，助力探索未知领域，驱动科学创新发现。聚焦生物育种、新材料创制、药物研发等领域，以数智融合加速技术创新和产业升级。</w:t>
      </w:r>
    </w:p>
    <w:p w14:paraId="643EE31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四、科学数据加速科研新范式变革</w:t>
      </w:r>
    </w:p>
    <w:p w14:paraId="6F9E579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围绕AI for Science在不同学科领域的研究与落地，充分依托各类数据库与知识库，利用人工智能、大数据和物联网等技术，推进跨学科、跨领域协同创新，以数据驱动发现新规律、创造新知识、发明新方法，推动科学研究方法的不断进步和发展，加速科学研究范式变革与新质生产力发展。</w:t>
      </w:r>
    </w:p>
    <w:p w14:paraId="21A74CC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kern w:val="2"/>
          <w:sz w:val="32"/>
          <w:szCs w:val="32"/>
          <w:lang w:val="en-US" w:eastAsia="zh-CN" w:bidi="ar-SA"/>
        </w:rPr>
        <w:br w:type="page"/>
      </w:r>
      <w:r>
        <w:rPr>
          <w:rFonts w:hint="default" w:ascii="Times New Roman" w:hAnsi="Times New Roman" w:eastAsia="黑体" w:cs="Times New Roman"/>
          <w:color w:val="000000"/>
          <w:sz w:val="32"/>
          <w:szCs w:val="32"/>
        </w:rPr>
        <w:t>赛道七：数据要素</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黑体" w:cs="Times New Roman"/>
          <w:color w:val="000000"/>
          <w:sz w:val="32"/>
          <w:szCs w:val="32"/>
        </w:rPr>
        <w:t>文化旅游领域赛题指南</w:t>
      </w:r>
    </w:p>
    <w:p w14:paraId="09485F55">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一、文化资源数字化与开放共享</w:t>
      </w:r>
    </w:p>
    <w:p w14:paraId="278E59F5">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推进文化资源数字化采集，整合汇聚文物、古籍、美术、地方戏曲剧种、非物质文化遗产等文化数据资源，形成专题数据库或高质量数据集，实现公共文化数据的开放共享与跨主体流动，丰富公共文化数字内容供给。</w:t>
      </w:r>
    </w:p>
    <w:p w14:paraId="356E240B">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二、文化和旅游数据要素化探索</w:t>
      </w:r>
    </w:p>
    <w:p w14:paraId="7E437303">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对文化和旅游数据的确权、评估和交易流通等环节进行探索，</w:t>
      </w:r>
      <w:r>
        <w:rPr>
          <w:rFonts w:hint="default" w:ascii="Times New Roman" w:hAnsi="Times New Roman" w:eastAsia="仿宋_GB2312" w:cs="Times New Roman"/>
          <w:b w:val="0"/>
          <w:bCs w:val="0"/>
          <w:kern w:val="2"/>
          <w:sz w:val="32"/>
          <w:szCs w:val="32"/>
          <w:lang w:val="en-US" w:eastAsia="zh-CN" w:bidi="ar-SA"/>
        </w:rPr>
        <w:t>开展文化数据资产交易</w:t>
      </w:r>
      <w:r>
        <w:rPr>
          <w:rFonts w:hint="default" w:ascii="Times New Roman" w:hAnsi="Times New Roman" w:eastAsia="仿宋_GB2312" w:cs="Times New Roman"/>
          <w:kern w:val="2"/>
          <w:sz w:val="32"/>
          <w:szCs w:val="32"/>
          <w:lang w:val="en-US" w:eastAsia="zh-CN" w:bidi="ar-SA"/>
        </w:rPr>
        <w:t>实践</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支持文化创意、旅游、展览等领域加强数据开发利用。拓展数字技术在文化创意产业应用，提高文化资源创新效能，发展文化创意产业及其衍生业态，创新文化数据资源开发利用模式。</w:t>
      </w:r>
    </w:p>
    <w:p w14:paraId="62EEE487">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三、智慧旅游创新发展</w:t>
      </w:r>
    </w:p>
    <w:p w14:paraId="7ACB8F16">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caps w:val="0"/>
          <w:spacing w:val="0"/>
          <w:kern w:val="2"/>
          <w:sz w:val="32"/>
          <w:szCs w:val="32"/>
          <w:shd w:val="clear" w:color="auto" w:fill="auto"/>
          <w:lang w:val="en-US" w:eastAsia="zh-CN" w:bidi="ar-SA"/>
        </w:rPr>
        <w:t>支持旅游经营主体共享气象、交通等数据，在合法合规前提下构建客群画像、城市画像等，优化旅游配套服务、一站式出行服务；</w:t>
      </w:r>
      <w:r>
        <w:rPr>
          <w:rFonts w:hint="default" w:ascii="Times New Roman" w:hAnsi="Times New Roman" w:eastAsia="仿宋_GB2312" w:cs="Times New Roman"/>
          <w:kern w:val="2"/>
          <w:sz w:val="32"/>
          <w:szCs w:val="32"/>
          <w:lang w:val="en-US" w:eastAsia="zh-CN" w:bidi="ar-SA"/>
        </w:rPr>
        <w:t>通过公共数据开放共享、涉旅企业数据有序流通等形式，实现</w:t>
      </w:r>
      <w:r>
        <w:rPr>
          <w:rFonts w:hint="default" w:ascii="Times New Roman" w:hAnsi="Times New Roman" w:eastAsia="仿宋_GB2312" w:cs="Times New Roman"/>
          <w:i w:val="0"/>
          <w:caps w:val="0"/>
          <w:spacing w:val="0"/>
          <w:kern w:val="2"/>
          <w:sz w:val="32"/>
          <w:szCs w:val="32"/>
          <w:shd w:val="clear" w:color="auto" w:fill="auto"/>
          <w:lang w:val="en-US" w:eastAsia="zh-CN" w:bidi="ar-SA"/>
        </w:rPr>
        <w:t>文化和旅游场所共享公安、交通、气象、证照等数据，支撑“免证”购票、集聚人群监测预警、应急救援等，</w:t>
      </w:r>
      <w:r>
        <w:rPr>
          <w:rFonts w:hint="default" w:ascii="Times New Roman" w:hAnsi="Times New Roman" w:eastAsia="仿宋_GB2312" w:cs="Times New Roman"/>
          <w:b w:val="0"/>
          <w:bCs w:val="0"/>
          <w:i w:val="0"/>
          <w:caps w:val="0"/>
          <w:spacing w:val="0"/>
          <w:kern w:val="2"/>
          <w:sz w:val="32"/>
          <w:szCs w:val="32"/>
          <w:shd w:val="clear" w:color="auto" w:fill="auto"/>
          <w:lang w:val="en-US" w:eastAsia="zh-CN" w:bidi="ar-SA"/>
        </w:rPr>
        <w:t>提升旅游服务水平和治理能力。</w:t>
      </w:r>
    </w:p>
    <w:p w14:paraId="403F9D1C">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四、大模型与文化和旅游融合应用</w:t>
      </w:r>
    </w:p>
    <w:p w14:paraId="3167DD06">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利用文化和旅游领域特色数据资源，打造文化和旅游大模型，为文化内容生产创作提供智能化解决方案，探索提供行程规划、智能导览等文化和旅游创新服务。</w:t>
      </w:r>
    </w:p>
    <w:p w14:paraId="2BAF7B66">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五、文物数字化保护</w:t>
      </w:r>
    </w:p>
    <w:p w14:paraId="16992957">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运用前沿技术，实现对文物进行全方位数字化保护与复原，借助保护修复、安全监管、文物流通等多维度数据，形成“文物画像”，让文物“活起来”。利用数字3D、全息投影等技术提升文物展示与讲解的游客体验。</w:t>
      </w:r>
    </w:p>
    <w:p w14:paraId="480901A7">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六、文物数据应用机制与技术</w:t>
      </w:r>
    </w:p>
    <w:p w14:paraId="4D587499">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研发一套文物数据确权的技术解决方案，包括标准化确权模型和适用于文物保护机构的数字化工具。设计一个智能授权管理平台，包括智能合约模板、数据访问权限管理模块和授权记录追踪模块等。建立一个基于区块链或可信计算技术的数据流通平台，实现透明、安全、高效的数据共享。</w:t>
      </w:r>
    </w:p>
    <w:p w14:paraId="3C68C058">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七、文物数据资源应用场景展示研究</w:t>
      </w:r>
    </w:p>
    <w:p w14:paraId="7E860AA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构建多维度的文物结构化数据，运用知识图谱、多模态大模型、算法推荐等，完成从文物数据采集到科研、教育、游戏、动漫、文创设计等的多场景应用。同时，形成高精度、多模态、虚实融合的历史空间时序重建与人机交互解决方案，实现新型文物展示空间等创新成果的产业化应用。</w:t>
      </w:r>
    </w:p>
    <w:p w14:paraId="7B6DA0CF">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八、历史文化街区和历史建筑数字化保护展示</w:t>
      </w:r>
    </w:p>
    <w:p w14:paraId="2DAE091C">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应用互联网、物联网、大数据、人工智能等技术，提升历史文化街区和历史建筑信息集成、日常巡查和社会监督水平。创新应用知识图谱、虚拟现实、数字孪生等信息技术，丰富历史文化街区和历史建筑展示利用场景。优化实体展示空间，提升观众的实地参观体验，让受众在近距离接触历史文化遗产中增强文化认同。</w:t>
      </w:r>
    </w:p>
    <w:p w14:paraId="2795BDB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kern w:val="2"/>
          <w:sz w:val="32"/>
          <w:szCs w:val="32"/>
          <w:lang w:val="en-US" w:eastAsia="zh-CN" w:bidi="ar-SA"/>
        </w:rPr>
        <w:br w:type="page"/>
      </w:r>
      <w:r>
        <w:rPr>
          <w:rFonts w:hint="default" w:ascii="Times New Roman" w:hAnsi="Times New Roman" w:eastAsia="黑体" w:cs="Times New Roman"/>
          <w:color w:val="000000"/>
          <w:sz w:val="32"/>
          <w:szCs w:val="32"/>
        </w:rPr>
        <w:t>赛道八：数据要素</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黑体" w:cs="Times New Roman"/>
          <w:color w:val="000000"/>
          <w:sz w:val="32"/>
          <w:szCs w:val="32"/>
        </w:rPr>
        <w:t>医疗健康领域赛题指南</w:t>
      </w:r>
    </w:p>
    <w:p w14:paraId="544BB6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一、医疗健康数据跨机构数据协同应用</w:t>
      </w:r>
    </w:p>
    <w:p w14:paraId="3D78313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不同机构间对医疗健康数据的共享应用需求较迫切，通过建设可信数据空间，构建数据合规匿名化、数据“可用不可见”的流通使用新模式和可信流通体系。</w:t>
      </w:r>
    </w:p>
    <w:p w14:paraId="4869782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二、提升医疗服务便捷性</w:t>
      </w:r>
    </w:p>
    <w:p w14:paraId="382227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医疗服务的复杂性、服务流程的多样性、服务对象的广泛性、医疗数据的敏感性，机构间存在信息壁垒，推动优化医疗资源配置，实现跨机构数据共享，提供便捷、高效的医疗服务，切实提高服务效率和质量。</w:t>
      </w:r>
    </w:p>
    <w:p w14:paraId="649C836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三、强化医疗大数据创新应用</w:t>
      </w:r>
    </w:p>
    <w:p w14:paraId="7A029B5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完善健康医疗数据资源体系，深化在行业治理、临床科研、公共卫生、智能医疗设备等领域的创新应用。建设多模态语料库和高质量医学数据集，为医药产品研发或临床知识发现提供早期研究基础，形成一批具有示范效应的新模式、新业态。</w:t>
      </w:r>
    </w:p>
    <w:p w14:paraId="5CEA3FA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四、规范医务人员依法执业</w:t>
      </w:r>
    </w:p>
    <w:p w14:paraId="00BCE92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聚焦医务人员使用智能系统辅助规范医疗执业行为的场景，利用信息技术将医疗服务相关法律法规规定嵌入医疗服务流程，有效普及医疗执业相关法律法规，提供精准的医疗执业法律风险预警和决策建议，加强医疗执业行为的合规性审查，优化诊疗过程，保障依法执业。</w:t>
      </w:r>
    </w:p>
    <w:p w14:paraId="2D98D4F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五、加强中医药数据特色应用</w:t>
      </w:r>
    </w:p>
    <w:p w14:paraId="5F2B5BF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盘活名老中医临床诊疗全流程数据，推动名老中医经验传承创新能力提升。加强中药全产业链数据协同利用，建立完善中药质量溯源体系，提升中药生产质效。数字化赋能中医药文化传播，创新中医药文化传播途径。推动人工智能大模型中医药全领域多场景应用。</w:t>
      </w:r>
    </w:p>
    <w:p w14:paraId="4EDC716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kern w:val="2"/>
          <w:sz w:val="32"/>
          <w:szCs w:val="32"/>
          <w:lang w:val="en-US" w:eastAsia="zh-CN" w:bidi="ar-SA"/>
        </w:rPr>
        <w:br w:type="page"/>
      </w:r>
      <w:r>
        <w:rPr>
          <w:rFonts w:hint="default" w:ascii="Times New Roman" w:hAnsi="Times New Roman" w:eastAsia="黑体" w:cs="Times New Roman"/>
          <w:color w:val="000000"/>
          <w:sz w:val="32"/>
          <w:szCs w:val="32"/>
        </w:rPr>
        <w:t>赛道</w:t>
      </w:r>
      <w:r>
        <w:rPr>
          <w:rFonts w:hint="default" w:ascii="Times New Roman" w:hAnsi="Times New Roman" w:eastAsia="黑体" w:cs="Times New Roman"/>
          <w:color w:val="000000"/>
          <w:sz w:val="32"/>
          <w:szCs w:val="32"/>
          <w:lang w:val="en-US" w:eastAsia="zh-CN"/>
        </w:rPr>
        <w:t>九</w:t>
      </w:r>
      <w:r>
        <w:rPr>
          <w:rFonts w:hint="default" w:ascii="Times New Roman" w:hAnsi="Times New Roman" w:eastAsia="黑体" w:cs="Times New Roman"/>
          <w:color w:val="000000"/>
          <w:sz w:val="32"/>
          <w:szCs w:val="32"/>
        </w:rPr>
        <w:t>：数据要素</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黑体" w:cs="Times New Roman"/>
          <w:color w:val="000000"/>
          <w:sz w:val="32"/>
          <w:szCs w:val="32"/>
        </w:rPr>
        <w:t>医疗</w:t>
      </w:r>
      <w:r>
        <w:rPr>
          <w:rFonts w:hint="default" w:ascii="Times New Roman" w:hAnsi="Times New Roman" w:eastAsia="黑体" w:cs="Times New Roman"/>
          <w:color w:val="000000"/>
          <w:sz w:val="32"/>
          <w:szCs w:val="32"/>
          <w:lang w:val="en-US" w:eastAsia="zh-CN"/>
        </w:rPr>
        <w:t>保障</w:t>
      </w:r>
      <w:r>
        <w:rPr>
          <w:rFonts w:hint="default" w:ascii="Times New Roman" w:hAnsi="Times New Roman" w:eastAsia="黑体" w:cs="Times New Roman"/>
          <w:color w:val="000000"/>
          <w:sz w:val="32"/>
          <w:szCs w:val="32"/>
        </w:rPr>
        <w:t>领域赛题指南</w:t>
      </w:r>
    </w:p>
    <w:p w14:paraId="14A47B6C">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一、提升医保数据赋能管理水平</w:t>
      </w:r>
    </w:p>
    <w:p w14:paraId="20F24D2C">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聚焦数据驱动下的医保管理能力升级。完善医保</w:t>
      </w:r>
      <w:r>
        <w:rPr>
          <w:rFonts w:hint="default" w:ascii="Times New Roman" w:hAnsi="Times New Roman" w:eastAsia="仿宋_GB2312" w:cs="Times New Roman"/>
          <w:b w:val="0"/>
          <w:bCs w:val="0"/>
          <w:kern w:val="2"/>
          <w:sz w:val="32"/>
          <w:szCs w:val="32"/>
          <w:lang w:val="en-US" w:eastAsia="zh-CN" w:bidi="ar-SA"/>
        </w:rPr>
        <w:t>运行管理机制，科学合理制定预算，加强运行监测与风险预警。强化医保服务协议管理，建立基于动态评估与信用评价的协议管理机制。加强医保健康管理，整合医保健康数据，促进医保从“被动支付”向“主动健康管理”转型。</w:t>
      </w:r>
    </w:p>
    <w:p w14:paraId="7AC29F99">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二、提升医保便民利企服务水平</w:t>
      </w:r>
    </w:p>
    <w:p w14:paraId="3B65DF7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持续提升医保便民利企服务水平。加快推进医保钱包、移动支付、追溯码采集应用等推广应用，有效减轻药品流通和零售</w:t>
      </w:r>
      <w:r>
        <w:rPr>
          <w:rFonts w:hint="default" w:ascii="Times New Roman" w:hAnsi="Times New Roman" w:eastAsia="仿宋_GB2312" w:cs="Times New Roman"/>
          <w:b w:val="0"/>
          <w:bCs w:val="0"/>
          <w:kern w:val="2"/>
          <w:sz w:val="32"/>
          <w:szCs w:val="32"/>
          <w:lang w:val="en-US" w:eastAsia="zh-CN" w:bidi="ar-SA"/>
        </w:rPr>
        <w:t>企业</w:t>
      </w:r>
      <w:r>
        <w:rPr>
          <w:rFonts w:hint="default" w:ascii="Times New Roman" w:hAnsi="Times New Roman" w:eastAsia="仿宋_GB2312" w:cs="Times New Roman"/>
          <w:kern w:val="2"/>
          <w:sz w:val="32"/>
          <w:szCs w:val="32"/>
          <w:lang w:val="en-US" w:eastAsia="zh-CN" w:bidi="ar-SA"/>
        </w:rPr>
        <w:t>在追溯信息采集和上传的负担；加快推进“云药房”建设应用，满足群众足不出户使用医保购药的需求，拓展药品流通和零售企业市场；加强云影像共享比对应用，让影像数据“多跑腿”，群众“少跑路”。有序释放医保数据价值，为群众构建高效、精准的优质医保</w:t>
      </w:r>
      <w:r>
        <w:rPr>
          <w:rFonts w:hint="default" w:ascii="Times New Roman" w:hAnsi="Times New Roman" w:eastAsia="仿宋_GB2312" w:cs="Times New Roman"/>
          <w:b w:val="0"/>
          <w:bCs w:val="0"/>
          <w:kern w:val="2"/>
          <w:sz w:val="32"/>
          <w:szCs w:val="32"/>
          <w:lang w:val="en-US" w:eastAsia="zh-CN" w:bidi="ar-SA"/>
        </w:rPr>
        <w:t>便民</w:t>
      </w:r>
      <w:r>
        <w:rPr>
          <w:rFonts w:hint="default" w:ascii="Times New Roman" w:hAnsi="Times New Roman" w:eastAsia="仿宋_GB2312" w:cs="Times New Roman"/>
          <w:kern w:val="2"/>
          <w:sz w:val="32"/>
          <w:szCs w:val="32"/>
          <w:lang w:val="en-US" w:eastAsia="zh-CN" w:bidi="ar-SA"/>
        </w:rPr>
        <w:t>服务，为</w:t>
      </w:r>
      <w:r>
        <w:rPr>
          <w:rFonts w:hint="default" w:ascii="Times New Roman" w:hAnsi="Times New Roman" w:eastAsia="仿宋_GB2312" w:cs="Times New Roman"/>
          <w:b w:val="0"/>
          <w:bCs w:val="0"/>
          <w:kern w:val="2"/>
          <w:sz w:val="32"/>
          <w:szCs w:val="32"/>
          <w:lang w:val="en-US" w:eastAsia="zh-CN" w:bidi="ar-SA"/>
        </w:rPr>
        <w:t>企业</w:t>
      </w:r>
      <w:r>
        <w:rPr>
          <w:rFonts w:hint="default" w:ascii="Times New Roman" w:hAnsi="Times New Roman" w:eastAsia="仿宋_GB2312" w:cs="Times New Roman"/>
          <w:kern w:val="2"/>
          <w:sz w:val="32"/>
          <w:szCs w:val="32"/>
          <w:lang w:val="en-US" w:eastAsia="zh-CN" w:bidi="ar-SA"/>
        </w:rPr>
        <w:t>缓解成本压力，注入强劲的发展动力。</w:t>
      </w:r>
    </w:p>
    <w:p w14:paraId="69A360A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三、推动医保数据赋能三医协同</w:t>
      </w:r>
    </w:p>
    <w:p w14:paraId="76023D34">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探索完善医保基金与医疗机构的结算机制，压缩结算周期，减轻医疗机构资金周转压力；探索医保基金与药品、耗材生产企业直接结算机制，优化供应链资金流转，降低企业运营成本；探索与商业保险机构同步结算机制，推动“医保+商保”清分结算中心建设，逐步完善“双平台一通道”模式，推动多层次医疗保障体系协同发展。</w:t>
      </w:r>
    </w:p>
    <w:p w14:paraId="7B9AFC9E">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四、推动医保数据赋能社会经济发展</w:t>
      </w:r>
    </w:p>
    <w:p w14:paraId="5C2C9308">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充分发挥数据要素的乘数效应，全面赋能经济社会发展。探索融合其他领域数据，借助大数据分析、人工智能、机器学习等前沿技术手段，构建数据合规应用模式，建立健全数据安全与隐私保护机制，确保数据在合法、安全的前提下高效流通与使用，打造开放、协同、可持续的医保数据创新应用生态。</w:t>
      </w:r>
    </w:p>
    <w:p w14:paraId="418148E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五、提升医保数据赋能改革水平</w:t>
      </w:r>
    </w:p>
    <w:p w14:paraId="53C0A5CE">
      <w:pPr>
        <w:keepNext w:val="0"/>
        <w:keepLines w:val="0"/>
        <w:pageBreakBefore w:val="0"/>
        <w:widowControl w:val="0"/>
        <w:kinsoku/>
        <w:wordWrap/>
        <w:overflowPunct/>
        <w:topLinePunct w:val="0"/>
        <w:autoSpaceDE/>
        <w:autoSpaceDN/>
        <w:bidi w:val="0"/>
        <w:adjustRightInd/>
        <w:snapToGrid/>
        <w:spacing w:line="520" w:lineRule="exact"/>
        <w:ind w:left="0" w:firstLine="6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持续赋能医疗保障事业高质量发展，以数据驱动为核心，构筑共建共治共享的改革新格局。充分利用医保信息化建设和医保领域各项工作的新成效，围绕支付方式改革、长期护理保险试点、药品集采以及地方医保政策优化等重点领域，加大对医保数据的深度挖掘、精准分析与创新应用，提高医保决策的科学性和精准性，提升群众的获得感、幸福感、安全感，充分发挥数据在医保改革中的关键作用，助力构建更加公平、高效、可持续的医疗保障体系。</w:t>
      </w:r>
    </w:p>
    <w:p w14:paraId="27F069C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kern w:val="2"/>
          <w:sz w:val="32"/>
          <w:szCs w:val="32"/>
          <w:lang w:val="en-US" w:eastAsia="zh-CN" w:bidi="ar-SA"/>
        </w:rPr>
        <w:br w:type="page"/>
      </w:r>
      <w:r>
        <w:rPr>
          <w:rFonts w:hint="default" w:ascii="Times New Roman" w:hAnsi="Times New Roman" w:eastAsia="黑体" w:cs="Times New Roman"/>
          <w:color w:val="000000"/>
          <w:sz w:val="32"/>
          <w:szCs w:val="32"/>
        </w:rPr>
        <w:t>赛道</w:t>
      </w:r>
      <w:r>
        <w:rPr>
          <w:rFonts w:hint="default" w:ascii="Times New Roman" w:hAnsi="Times New Roman" w:eastAsia="黑体" w:cs="Times New Roman"/>
          <w:color w:val="000000"/>
          <w:sz w:val="32"/>
          <w:szCs w:val="32"/>
          <w:lang w:val="en-US" w:eastAsia="zh-CN"/>
        </w:rPr>
        <w:t>十</w:t>
      </w:r>
      <w:r>
        <w:rPr>
          <w:rFonts w:hint="default" w:ascii="Times New Roman" w:hAnsi="Times New Roman" w:eastAsia="黑体" w:cs="Times New Roman"/>
          <w:color w:val="000000"/>
          <w:sz w:val="32"/>
          <w:szCs w:val="32"/>
        </w:rPr>
        <w:t>：数据要素</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黑体" w:cs="Times New Roman"/>
          <w:color w:val="000000"/>
          <w:sz w:val="32"/>
          <w:szCs w:val="32"/>
        </w:rPr>
        <w:t>应急管理领域赛题指南</w:t>
      </w:r>
    </w:p>
    <w:p w14:paraId="7B61F4A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kern w:val="44"/>
          <w:sz w:val="32"/>
          <w:szCs w:val="32"/>
          <w:lang w:val="en-US" w:eastAsia="zh-CN"/>
        </w:rPr>
      </w:pPr>
      <w:r>
        <w:rPr>
          <w:rFonts w:hint="default" w:ascii="Times New Roman" w:hAnsi="Times New Roman" w:eastAsia="黑体" w:cs="Times New Roman"/>
          <w:b w:val="0"/>
          <w:bCs w:val="0"/>
          <w:kern w:val="44"/>
          <w:sz w:val="32"/>
          <w:szCs w:val="32"/>
          <w:lang w:val="en-US" w:eastAsia="zh-CN"/>
        </w:rPr>
        <w:t>一、提升安全生产监管能力</w:t>
      </w:r>
    </w:p>
    <w:p w14:paraId="17FCE3F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kern w:val="44"/>
          <w:sz w:val="32"/>
          <w:szCs w:val="32"/>
          <w:lang w:val="en-US" w:eastAsia="zh-CN"/>
        </w:rPr>
      </w:pPr>
      <w:r>
        <w:rPr>
          <w:rFonts w:hint="default" w:ascii="Times New Roman" w:hAnsi="Times New Roman" w:eastAsia="仿宋_GB2312" w:cs="Times New Roman"/>
          <w:b w:val="0"/>
          <w:bCs/>
          <w:kern w:val="44"/>
          <w:sz w:val="32"/>
          <w:szCs w:val="32"/>
          <w:lang w:val="en-US" w:eastAsia="zh-CN"/>
        </w:rPr>
        <w:t>围绕矿山、危险化学品、烟花爆竹、重点工贸等高危行业安全生产监管需求，探索利用人工智能大模型提升企业违法违规行为精准监管和城市火灾智能监测能力。体现数据要素在安全生产责任保险评估模型构建和新险种开发方面的重要作用，以数据要素价值化提高安全生产风险评估的精准化和科学化。</w:t>
      </w:r>
    </w:p>
    <w:p w14:paraId="17BC48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kern w:val="44"/>
          <w:sz w:val="32"/>
          <w:szCs w:val="32"/>
          <w:lang w:val="en-US" w:eastAsia="zh-CN"/>
        </w:rPr>
      </w:pPr>
      <w:r>
        <w:rPr>
          <w:rFonts w:hint="default" w:ascii="Times New Roman" w:hAnsi="Times New Roman" w:eastAsia="黑体" w:cs="Times New Roman"/>
          <w:b w:val="0"/>
          <w:bCs w:val="0"/>
          <w:kern w:val="44"/>
          <w:sz w:val="32"/>
          <w:szCs w:val="32"/>
          <w:lang w:val="en-US" w:eastAsia="zh-CN"/>
        </w:rPr>
        <w:t>二、提升自然灾害监测评估能力</w:t>
      </w:r>
    </w:p>
    <w:p w14:paraId="6B694BA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kern w:val="44"/>
          <w:sz w:val="32"/>
          <w:szCs w:val="32"/>
          <w:lang w:val="en-US" w:eastAsia="zh-CN"/>
        </w:rPr>
      </w:pPr>
      <w:r>
        <w:rPr>
          <w:rFonts w:hint="default" w:ascii="Times New Roman" w:hAnsi="Times New Roman" w:eastAsia="仿宋_GB2312" w:cs="Times New Roman"/>
          <w:b w:val="0"/>
          <w:bCs/>
          <w:kern w:val="44"/>
          <w:sz w:val="32"/>
          <w:szCs w:val="32"/>
          <w:lang w:val="en-US" w:eastAsia="zh-CN"/>
        </w:rPr>
        <w:t>整合利用铁塔、电力、气象等公共数据，研发自然灾害灾情监测评估模型，赋能自然灾害灾情监测、预警、研判、评估，提升灾害风险管理数据分析、仿真与建模水平。开展地震活动、地壳形变、地下流体等监测数据的融合分析，提升地震预测预警水平。</w:t>
      </w:r>
    </w:p>
    <w:p w14:paraId="433A49F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kern w:val="44"/>
          <w:sz w:val="32"/>
          <w:szCs w:val="32"/>
          <w:lang w:val="en-US" w:eastAsia="zh-CN"/>
        </w:rPr>
      </w:pPr>
      <w:r>
        <w:rPr>
          <w:rFonts w:hint="default" w:ascii="Times New Roman" w:hAnsi="Times New Roman" w:eastAsia="黑体" w:cs="Times New Roman"/>
          <w:b w:val="0"/>
          <w:bCs w:val="0"/>
          <w:kern w:val="44"/>
          <w:sz w:val="32"/>
          <w:szCs w:val="32"/>
          <w:lang w:val="en-US" w:eastAsia="zh-CN"/>
        </w:rPr>
        <w:t>三、提升应急管理智能化水平</w:t>
      </w:r>
    </w:p>
    <w:p w14:paraId="1969D3B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kern w:val="44"/>
          <w:sz w:val="32"/>
          <w:szCs w:val="32"/>
          <w:lang w:val="en-US" w:eastAsia="zh-CN"/>
        </w:rPr>
      </w:pPr>
      <w:r>
        <w:rPr>
          <w:rFonts w:hint="default" w:ascii="Times New Roman" w:hAnsi="Times New Roman" w:eastAsia="仿宋_GB2312" w:cs="Times New Roman"/>
          <w:b w:val="0"/>
          <w:bCs/>
          <w:kern w:val="44"/>
          <w:sz w:val="32"/>
          <w:szCs w:val="32"/>
          <w:lang w:val="en-US" w:eastAsia="zh-CN"/>
        </w:rPr>
        <w:t>利用应急管理领域数据资源，建设面向监测预警、监管执法、抢险救援等典型应用场景的高质量语料库和数据集，拓展大模型在风险隐患识别研判、辅助指挥调度处置、执法检查等场景的应用。</w:t>
      </w:r>
    </w:p>
    <w:p w14:paraId="4AD4B93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_GB2312" w:cs="Times New Roman"/>
          <w:b w:val="0"/>
          <w:bCs/>
          <w:kern w:val="44"/>
          <w:sz w:val="32"/>
          <w:szCs w:val="32"/>
          <w:lang w:val="en-US" w:eastAsia="zh-CN"/>
        </w:rPr>
        <w:br w:type="page"/>
      </w:r>
      <w:r>
        <w:rPr>
          <w:rFonts w:hint="default" w:ascii="Times New Roman" w:hAnsi="Times New Roman" w:eastAsia="黑体" w:cs="Times New Roman"/>
          <w:color w:val="000000"/>
          <w:sz w:val="32"/>
          <w:szCs w:val="32"/>
        </w:rPr>
        <w:t>赛道十</w:t>
      </w: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：数据要素</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黑体" w:cs="Times New Roman"/>
          <w:color w:val="000000"/>
          <w:sz w:val="32"/>
          <w:szCs w:val="32"/>
        </w:rPr>
        <w:t>气象服务领域赛题指南</w:t>
      </w:r>
    </w:p>
    <w:p w14:paraId="68B1CB5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一、提高气象防灾减灾能力</w:t>
      </w:r>
    </w:p>
    <w:p w14:paraId="138F167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kern w:val="44"/>
          <w:sz w:val="32"/>
          <w:szCs w:val="32"/>
          <w:lang w:val="en-US" w:eastAsia="zh-CN"/>
        </w:rPr>
      </w:pPr>
      <w:r>
        <w:rPr>
          <w:rFonts w:hint="default" w:ascii="Times New Roman" w:hAnsi="Times New Roman" w:eastAsia="仿宋_GB2312" w:cs="Times New Roman"/>
          <w:b w:val="0"/>
          <w:bCs/>
          <w:kern w:val="44"/>
          <w:sz w:val="32"/>
          <w:szCs w:val="32"/>
          <w:lang w:val="en-US" w:eastAsia="zh-CN"/>
        </w:rPr>
        <w:t>加强气象数据与自然资源、交通运输、农业农村、住建、水利等数据融合利用，开展精细化气象灾害风险预报预警。面向水电气热交通等城市建设和安全运行不同场景，强化气象影响预报和风险预警，增强城市韧性。深化气象数据与城市规划、重大工程等建设数据融合应用，降低不利气象条件对规划和工程的影响。</w:t>
      </w:r>
    </w:p>
    <w:p w14:paraId="18FFA29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二、强化气象赋能增益作用</w:t>
      </w:r>
    </w:p>
    <w:p w14:paraId="639FAFE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kern w:val="44"/>
          <w:sz w:val="32"/>
          <w:szCs w:val="32"/>
          <w:lang w:val="en-US" w:eastAsia="zh-CN"/>
        </w:rPr>
      </w:pPr>
      <w:r>
        <w:rPr>
          <w:rFonts w:hint="default" w:ascii="Times New Roman" w:hAnsi="Times New Roman" w:eastAsia="仿宋_GB2312" w:cs="Times New Roman"/>
          <w:b w:val="0"/>
          <w:bCs/>
          <w:kern w:val="44"/>
          <w:sz w:val="32"/>
          <w:szCs w:val="32"/>
          <w:lang w:val="en-US" w:eastAsia="zh-CN"/>
        </w:rPr>
        <w:t>加强气象数据与低空飞行通信、导航、监测等数据融合利用，探索利用5G-A基站、智能汽车加载的激光雷达、视频等设备，开发气象数据收集新技术，打造数字化气象服务产品。推动气象数据在风能、太阳能等企业选址布局、设备运维、能源调度等深度应用，实现新能源企业降本增效。融入冰雪经济、银发经济，与经营主体联合打造旅游、健康等气象服务新业态。打造高质量气象语料库和数据集等，支撑人工智能大模型开发和训练，创新气象数据产品及服务。探索建立可信数据空间，畅通气象数据融合利用、授权运营、高效流通、收益分配等关键环节，强化气象数据跨部门跨市场安全监管。</w:t>
      </w:r>
    </w:p>
    <w:p w14:paraId="6EC5780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三、提升应对气候变化能力</w:t>
      </w:r>
    </w:p>
    <w:p w14:paraId="67052D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kern w:val="44"/>
          <w:sz w:val="32"/>
          <w:szCs w:val="32"/>
          <w:lang w:val="en-US" w:eastAsia="zh-CN"/>
        </w:rPr>
      </w:pPr>
      <w:r>
        <w:rPr>
          <w:rFonts w:hint="default" w:ascii="Times New Roman" w:hAnsi="Times New Roman" w:eastAsia="仿宋_GB2312" w:cs="Times New Roman"/>
          <w:b w:val="0"/>
          <w:bCs/>
          <w:kern w:val="44"/>
          <w:sz w:val="32"/>
          <w:szCs w:val="32"/>
          <w:lang w:val="en-US" w:eastAsia="zh-CN"/>
        </w:rPr>
        <w:t>强化气象数据与经济社会、生态环境、自然资源、农业农村等数据融合应用，打造气候变化风险识别、风险评估、风险预警风险转移等智能决策模式。聚焦农业、能源、交通、电力、旅游等领域气候风险防范需求，创新各类天气指数保险产品及天气衍生品，推动其落地应用于保险、期货等金融行业。研发气候投融资金融工具，提高经济实体和金融体系对气候变化的适应能力和韧性。</w:t>
      </w:r>
    </w:p>
    <w:p w14:paraId="6DDDFC4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_GB2312" w:cs="Times New Roman"/>
          <w:b w:val="0"/>
          <w:bCs/>
          <w:kern w:val="44"/>
          <w:sz w:val="32"/>
          <w:szCs w:val="32"/>
          <w:lang w:val="en-US" w:eastAsia="zh-CN"/>
        </w:rPr>
        <w:br w:type="page"/>
      </w:r>
      <w:r>
        <w:rPr>
          <w:rFonts w:hint="default" w:ascii="Times New Roman" w:hAnsi="Times New Roman" w:eastAsia="黑体" w:cs="Times New Roman"/>
          <w:color w:val="000000"/>
          <w:sz w:val="32"/>
          <w:szCs w:val="32"/>
        </w:rPr>
        <w:t>赛道十</w:t>
      </w:r>
      <w:r>
        <w:rPr>
          <w:rFonts w:hint="default" w:ascii="Times New Roman" w:hAnsi="Times New Roman" w:eastAsia="黑体" w:cs="Times New Roman"/>
          <w:color w:val="000000"/>
          <w:sz w:val="32"/>
          <w:szCs w:val="32"/>
          <w:lang w:val="en-US" w:eastAsia="zh-CN"/>
        </w:rPr>
        <w:t>二</w:t>
      </w:r>
      <w:r>
        <w:rPr>
          <w:rFonts w:hint="default" w:ascii="Times New Roman" w:hAnsi="Times New Roman" w:eastAsia="黑体" w:cs="Times New Roman"/>
          <w:color w:val="000000"/>
          <w:sz w:val="32"/>
          <w:szCs w:val="32"/>
        </w:rPr>
        <w:t>：数据要素</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黑体" w:cs="Times New Roman"/>
          <w:color w:val="000000"/>
          <w:sz w:val="32"/>
          <w:szCs w:val="32"/>
        </w:rPr>
        <w:t>城市治理领域赛题指南</w:t>
      </w:r>
    </w:p>
    <w:p w14:paraId="50DE29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一、发展智能安居的数字住房</w:t>
      </w:r>
    </w:p>
    <w:p w14:paraId="22195C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kern w:val="44"/>
          <w:sz w:val="32"/>
          <w:szCs w:val="32"/>
          <w:lang w:val="en-US" w:eastAsia="zh-CN"/>
        </w:rPr>
      </w:pPr>
      <w:r>
        <w:rPr>
          <w:rFonts w:hint="default" w:ascii="Times New Roman" w:hAnsi="Times New Roman" w:eastAsia="仿宋_GB2312" w:cs="Times New Roman"/>
          <w:b w:val="0"/>
          <w:bCs/>
          <w:kern w:val="44"/>
          <w:sz w:val="32"/>
          <w:szCs w:val="32"/>
          <w:lang w:val="en-US" w:eastAsia="zh-CN"/>
        </w:rPr>
        <w:t>围绕住房全生命周期管理，统筹推进住房领域系统融合、数据联通，促进集分析研判、监管预警和政务服务为一体的综合应用，大力提升住房领域智慧监管、智能安居水平。</w:t>
      </w:r>
    </w:p>
    <w:p w14:paraId="7BD203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二、打造智联协同的数字工程</w:t>
      </w:r>
    </w:p>
    <w:p w14:paraId="6DF9EE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kern w:val="44"/>
          <w:sz w:val="32"/>
          <w:szCs w:val="32"/>
          <w:lang w:val="en-US" w:eastAsia="zh-CN"/>
        </w:rPr>
      </w:pPr>
      <w:r>
        <w:rPr>
          <w:rFonts w:hint="default" w:ascii="Times New Roman" w:hAnsi="Times New Roman" w:eastAsia="仿宋_GB2312" w:cs="Times New Roman"/>
          <w:b w:val="0"/>
          <w:bCs/>
          <w:kern w:val="44"/>
          <w:sz w:val="32"/>
          <w:szCs w:val="32"/>
          <w:lang w:val="en-US" w:eastAsia="zh-CN"/>
        </w:rPr>
        <w:t>围绕建筑工业化、数字化、智能化，推行工程建设项目全生命周期数字化管理，推进施工质量安全监管、工程质量检测数字化转型，实现智慧监管。深化应用自主可控建筑信息模型(BIM)技术，提升建筑设计、施工、运营维护协同水平，推动智能建造与建筑工业化协同发展。打造全产业链融合一体的智能建造产业体系，大力发展数字设计、智能生产和智能施工，促进建筑业高质量发展。</w:t>
      </w:r>
    </w:p>
    <w:p w14:paraId="0EE6C0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三、建设智慧韧性的数字城市</w:t>
      </w:r>
    </w:p>
    <w:p w14:paraId="443DDB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kern w:val="44"/>
          <w:sz w:val="32"/>
          <w:szCs w:val="32"/>
          <w:lang w:val="en-US" w:eastAsia="zh-CN"/>
        </w:rPr>
      </w:pPr>
      <w:r>
        <w:rPr>
          <w:rFonts w:hint="default" w:ascii="Times New Roman" w:hAnsi="Times New Roman" w:eastAsia="仿宋_GB2312" w:cs="Times New Roman"/>
          <w:b w:val="0"/>
          <w:bCs/>
          <w:kern w:val="44"/>
          <w:sz w:val="32"/>
          <w:szCs w:val="32"/>
          <w:lang w:val="en-US" w:eastAsia="zh-CN"/>
        </w:rPr>
        <w:t>围绕实施城市更新行动，打造宜居、韧性、智慧城市，统筹规划、建设、治理三大环节，加大新型城市基础设施建设力度，实施城市基础设施智能化建设行动，加快城市基础设施生命线安全工程建设，推动城市运行管理“一网统管”推进城市运行智慧化、韧性化。</w:t>
      </w:r>
    </w:p>
    <w:p w14:paraId="6C9DA7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四、构建智管宜居的数字村镇</w:t>
      </w:r>
    </w:p>
    <w:p w14:paraId="1EEE3A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kern w:val="44"/>
          <w:sz w:val="32"/>
          <w:szCs w:val="32"/>
          <w:lang w:val="en-US" w:eastAsia="zh-CN"/>
        </w:rPr>
      </w:pPr>
      <w:r>
        <w:rPr>
          <w:rFonts w:hint="default" w:ascii="Times New Roman" w:hAnsi="Times New Roman" w:eastAsia="仿宋_GB2312" w:cs="Times New Roman"/>
          <w:b w:val="0"/>
          <w:bCs/>
          <w:kern w:val="44"/>
          <w:sz w:val="32"/>
          <w:szCs w:val="32"/>
          <w:lang w:val="en-US" w:eastAsia="zh-CN"/>
        </w:rPr>
        <w:t>深入实施数字乡村建设行动，按照房、村、镇三个层面，整合现有信息数据，统筹推进信息化建设和数字化应用，构建“数字农房”、“数字村庄”、“数字小城镇”，助力建设宜居宜业美丽村镇。</w:t>
      </w:r>
    </w:p>
    <w:p w14:paraId="20B971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五、推动基于人工智能大模型的施工安全管理</w:t>
      </w:r>
    </w:p>
    <w:p w14:paraId="1CEB89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kern w:val="44"/>
          <w:sz w:val="32"/>
          <w:szCs w:val="32"/>
          <w:lang w:val="en-US" w:eastAsia="zh-CN"/>
        </w:rPr>
      </w:pPr>
      <w:r>
        <w:rPr>
          <w:rFonts w:hint="default" w:ascii="Times New Roman" w:hAnsi="Times New Roman" w:eastAsia="仿宋_GB2312" w:cs="Times New Roman"/>
          <w:b w:val="0"/>
          <w:bCs/>
          <w:kern w:val="44"/>
          <w:sz w:val="32"/>
          <w:szCs w:val="32"/>
          <w:lang w:val="en-US" w:eastAsia="zh-CN"/>
        </w:rPr>
        <w:t>基于北斗、BIM、倾斜摄影、机器人、边缘计算等技术提升施工安全监管效率。运用人工智能大模型，实现施工方案的自动智能编写与合规性审查。通过机器视觉等技术实现质量和安全风险的智能识别。探索具身智能在安全风险识别和预测方面的应用。利用大模型推理能力的优势，拓展在数据挖掘方面的应用，保障工程质量和施工安全。</w:t>
      </w:r>
    </w:p>
    <w:p w14:paraId="0D3F13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六、发展数智融合的公共服务</w:t>
      </w:r>
    </w:p>
    <w:p w14:paraId="4ADCDE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Cs/>
          <w:kern w:val="44"/>
          <w:sz w:val="32"/>
          <w:szCs w:val="32"/>
          <w:lang w:val="en-US" w:eastAsia="zh-CN"/>
        </w:rPr>
      </w:pPr>
      <w:r>
        <w:rPr>
          <w:rFonts w:hint="default" w:ascii="Times New Roman" w:hAnsi="Times New Roman" w:eastAsia="仿宋_GB2312" w:cs="Times New Roman"/>
          <w:b w:val="0"/>
          <w:bCs/>
          <w:kern w:val="44"/>
          <w:sz w:val="32"/>
          <w:szCs w:val="32"/>
          <w:u w:val="none"/>
          <w:lang w:val="en-US" w:eastAsia="zh-CN"/>
        </w:rPr>
        <w:t>在城市医疗、教育、养老、文旅等公共服务领域开展数智融合实践，打通公共数据与社会数据（如企业数据、互联网平台数据等）之间的数据堵点，</w:t>
      </w:r>
      <w:r>
        <w:rPr>
          <w:rFonts w:hint="default" w:ascii="Times New Roman" w:hAnsi="Times New Roman" w:eastAsia="仿宋_GB2312" w:cs="Times New Roman"/>
          <w:bCs/>
          <w:kern w:val="44"/>
          <w:sz w:val="32"/>
          <w:szCs w:val="32"/>
        </w:rPr>
        <w:t>推动三医协同、医养融合、文体旅融合等多维度数据融通，</w:t>
      </w:r>
      <w:r>
        <w:rPr>
          <w:rFonts w:hint="default" w:ascii="Times New Roman" w:hAnsi="Times New Roman" w:eastAsia="仿宋_GB2312" w:cs="Times New Roman"/>
          <w:b w:val="0"/>
          <w:bCs/>
          <w:kern w:val="44"/>
          <w:sz w:val="32"/>
          <w:szCs w:val="32"/>
          <w:u w:val="none"/>
          <w:lang w:val="en-US" w:eastAsia="zh-CN"/>
        </w:rPr>
        <w:t>提升公共服务便捷化和精准化水平。基于数据融合、业务协同等模式，打造智慧社区、智慧邻里、数字家庭、AI管家等新场景，</w:t>
      </w:r>
      <w:r>
        <w:rPr>
          <w:rFonts w:hint="default" w:ascii="Times New Roman" w:hAnsi="Times New Roman" w:eastAsia="仿宋_GB2312" w:cs="Times New Roman"/>
          <w:bCs/>
          <w:kern w:val="44"/>
          <w:sz w:val="32"/>
          <w:szCs w:val="32"/>
        </w:rPr>
        <w:t>切实满足人民群众对高质量公共服务的需求，体现</w:t>
      </w:r>
      <w:r>
        <w:rPr>
          <w:rFonts w:hint="default" w:ascii="Times New Roman" w:hAnsi="Times New Roman" w:eastAsia="仿宋_GB2312" w:cs="Times New Roman"/>
          <w:bCs/>
          <w:kern w:val="44"/>
          <w:sz w:val="32"/>
          <w:szCs w:val="32"/>
          <w:lang w:val="en-US" w:eastAsia="zh-CN"/>
        </w:rPr>
        <w:t>数据要素对</w:t>
      </w:r>
      <w:r>
        <w:rPr>
          <w:rFonts w:hint="default" w:ascii="Times New Roman" w:hAnsi="Times New Roman" w:eastAsia="仿宋_GB2312" w:cs="Times New Roman"/>
          <w:bCs/>
          <w:kern w:val="44"/>
          <w:sz w:val="32"/>
          <w:szCs w:val="32"/>
        </w:rPr>
        <w:t>公共服务</w:t>
      </w:r>
      <w:r>
        <w:rPr>
          <w:rFonts w:hint="default" w:ascii="Times New Roman" w:hAnsi="Times New Roman" w:eastAsia="仿宋_GB2312" w:cs="Times New Roman"/>
          <w:bCs/>
          <w:kern w:val="44"/>
          <w:sz w:val="32"/>
          <w:szCs w:val="32"/>
          <w:lang w:val="en-US" w:eastAsia="zh-CN"/>
        </w:rPr>
        <w:t>的赋能作用，及其产生的经济和社会效益</w:t>
      </w:r>
      <w:r>
        <w:rPr>
          <w:rFonts w:hint="default" w:ascii="Times New Roman" w:hAnsi="Times New Roman" w:eastAsia="仿宋_GB2312" w:cs="Times New Roman"/>
          <w:bCs/>
          <w:kern w:val="44"/>
          <w:sz w:val="32"/>
          <w:szCs w:val="32"/>
        </w:rPr>
        <w:t>。</w:t>
      </w:r>
    </w:p>
    <w:p w14:paraId="00AD34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七、推动城市管理数智升级</w:t>
      </w:r>
    </w:p>
    <w:p w14:paraId="00DD12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kern w:val="44"/>
          <w:sz w:val="32"/>
          <w:szCs w:val="32"/>
          <w:u w:val="none"/>
          <w:lang w:val="en-US" w:eastAsia="zh-CN"/>
        </w:rPr>
      </w:pPr>
      <w:r>
        <w:rPr>
          <w:rFonts w:hint="default" w:ascii="Times New Roman" w:hAnsi="Times New Roman" w:eastAsia="仿宋_GB2312" w:cs="Times New Roman"/>
          <w:bCs/>
          <w:kern w:val="44"/>
          <w:sz w:val="32"/>
          <w:szCs w:val="32"/>
        </w:rPr>
        <w:t>综合利用城市时空基础、资源调查、规划管控、工程建设项目、物联网感知等数据，</w:t>
      </w:r>
      <w:r>
        <w:rPr>
          <w:rFonts w:hint="default" w:ascii="Times New Roman" w:hAnsi="Times New Roman" w:eastAsia="仿宋_GB2312" w:cs="Times New Roman"/>
          <w:b w:val="0"/>
          <w:bCs/>
          <w:kern w:val="44"/>
          <w:sz w:val="32"/>
          <w:szCs w:val="32"/>
          <w:u w:val="none"/>
          <w:lang w:val="en-US" w:eastAsia="zh-CN"/>
        </w:rPr>
        <w:t>推进城市生命线数字化升级，打造城市数字孪生系统，以数据融合助力城市安全运行，推动城市管理降本增效。推动城市人、地、事、物、情、组织等多维度数据融通，推进“城市码”应用创新。</w:t>
      </w:r>
    </w:p>
    <w:p w14:paraId="4AAB3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八、深化城市产城融合发展</w:t>
      </w:r>
    </w:p>
    <w:p w14:paraId="07413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kern w:val="44"/>
          <w:sz w:val="32"/>
          <w:szCs w:val="32"/>
          <w:u w:val="none"/>
          <w:lang w:val="en-US" w:eastAsia="zh-CN"/>
        </w:rPr>
      </w:pPr>
      <w:r>
        <w:rPr>
          <w:rFonts w:hint="default" w:ascii="Times New Roman" w:hAnsi="Times New Roman" w:eastAsia="仿宋_GB2312" w:cs="Times New Roman"/>
          <w:b w:val="0"/>
          <w:bCs/>
          <w:kern w:val="44"/>
          <w:sz w:val="32"/>
          <w:szCs w:val="32"/>
          <w:u w:val="none"/>
          <w:lang w:val="en-US" w:eastAsia="zh-CN"/>
        </w:rPr>
        <w:t>促进新型产城融合发展，推动智慧建筑、园区招商、物业服务等多元数据融通利用，推进城市产业空间数字更新。推动数据在智慧商圈、智慧文体场馆、智慧公园等数实融合场景的应用，激发产城融合服务能级与数字活力。开展城市实体化数据要素场景创新中心建设，打造新技术新场景首试首用体验场。</w:t>
      </w:r>
    </w:p>
    <w:p w14:paraId="257F75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九、夯实城市数据底座支撑</w:t>
      </w:r>
    </w:p>
    <w:p w14:paraId="75F145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kern w:val="44"/>
          <w:sz w:val="32"/>
          <w:szCs w:val="32"/>
          <w:u w:val="none"/>
          <w:lang w:val="en-US" w:eastAsia="zh-CN"/>
        </w:rPr>
      </w:pPr>
      <w:r>
        <w:rPr>
          <w:rFonts w:hint="default" w:ascii="Times New Roman" w:hAnsi="Times New Roman" w:eastAsia="仿宋_GB2312" w:cs="Times New Roman"/>
          <w:b w:val="0"/>
          <w:bCs/>
          <w:kern w:val="44"/>
          <w:sz w:val="32"/>
          <w:szCs w:val="32"/>
          <w:u w:val="none"/>
          <w:lang w:val="en-US" w:eastAsia="zh-CN"/>
        </w:rPr>
        <w:t>统筹建设城市感知与传输设施，全面提升城市存储与计算设施，加快建设城市数据流通设施，为城市数据“采存算管用”提供安全高效的基础设施能力支持。基于城市数据底座，开展公共数据授权运营、数据融通利用、城市数据空间运营等创新实践。完善城市智能中枢体系建设，依托海量城市数据资源、大模型等，构建城市运行数字体征指标体系、智能分析研判平台、多级联动指挥平台，形成城市态势全面感知、趋势智能研判、协同高效处置、平急快速切换能力。</w:t>
      </w:r>
    </w:p>
    <w:p w14:paraId="397566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十、强化区域数字化协同发展</w:t>
      </w:r>
    </w:p>
    <w:p w14:paraId="57337AD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 w:val="0"/>
          <w:bCs/>
          <w:kern w:val="44"/>
          <w:sz w:val="32"/>
          <w:szCs w:val="32"/>
        </w:rPr>
      </w:pPr>
      <w:r>
        <w:rPr>
          <w:rFonts w:hint="default" w:ascii="Times New Roman" w:hAnsi="Times New Roman" w:eastAsia="仿宋_GB2312" w:cs="Times New Roman"/>
          <w:b w:val="0"/>
          <w:bCs/>
          <w:kern w:val="44"/>
          <w:sz w:val="32"/>
          <w:szCs w:val="32"/>
          <w:u w:val="none"/>
          <w:lang w:val="en-US" w:eastAsia="zh-CN"/>
        </w:rPr>
        <w:t>围绕企业经营主体注册登记、异地就医结算、养老保险互转等服务事项开展跨城通办中存在的难点、痛点问题，发挥数据要素的融合赋能作用，以数据流畅通跨城治理藩篱，体现跨城治理新技术、新产品、新服务、新应用及新商业模式，实现社会效益的最大化。</w:t>
      </w:r>
    </w:p>
    <w:p w14:paraId="13BA112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kern w:val="44"/>
          <w:sz w:val="32"/>
          <w:szCs w:val="32"/>
        </w:rPr>
      </w:pPr>
      <w:r>
        <w:rPr>
          <w:rFonts w:hint="default" w:ascii="Times New Roman" w:hAnsi="Times New Roman" w:eastAsia="黑体" w:cs="Times New Roman"/>
          <w:b w:val="0"/>
          <w:bCs/>
          <w:kern w:val="44"/>
          <w:sz w:val="32"/>
          <w:szCs w:val="32"/>
          <w:lang w:val="en-US" w:eastAsia="zh-CN"/>
        </w:rPr>
        <w:t>十一、</w:t>
      </w:r>
      <w:r>
        <w:rPr>
          <w:rFonts w:hint="default" w:ascii="Times New Roman" w:hAnsi="Times New Roman" w:eastAsia="黑体" w:cs="Times New Roman"/>
          <w:b w:val="0"/>
          <w:bCs/>
          <w:kern w:val="44"/>
          <w:sz w:val="32"/>
          <w:szCs w:val="32"/>
        </w:rPr>
        <w:t>提升城市管理协同化水平</w:t>
      </w:r>
    </w:p>
    <w:p w14:paraId="0F454EB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提高城市管理数据共享与融通应用实效，推动城市人、地、事、物、情、组织等多维度数据融通，在公共卫生、交通管理、公共安全、生态环境、基层治理、体育赛事等领域场景投入应用，基于数据融通、业务协同等实现具体领域或城市</w:t>
      </w:r>
      <w:r>
        <w:rPr>
          <w:rFonts w:hint="default" w:ascii="Times New Roman" w:hAnsi="Times New Roman" w:eastAsia="仿宋_GB2312" w:cs="Times New Roman"/>
          <w:bCs/>
          <w:kern w:val="44"/>
          <w:sz w:val="32"/>
          <w:szCs w:val="32"/>
          <w:lang w:val="en-US" w:eastAsia="zh-CN"/>
        </w:rPr>
        <w:t>运行</w:t>
      </w:r>
      <w:r>
        <w:rPr>
          <w:rFonts w:hint="default" w:ascii="Times New Roman" w:hAnsi="Times New Roman" w:eastAsia="仿宋_GB2312" w:cs="Times New Roman"/>
          <w:bCs/>
          <w:kern w:val="44"/>
          <w:sz w:val="32"/>
          <w:szCs w:val="32"/>
        </w:rPr>
        <w:t>管理的态势实时感知、风险智能研判、及时协同处置，优化城市管理方式。</w:t>
      </w:r>
    </w:p>
    <w:p w14:paraId="661785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十二、提高城市发展决策科学性</w:t>
      </w:r>
    </w:p>
    <w:p w14:paraId="126232F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综合利用城市时空基础、资源调查、规划管控、工程建设项目、物联网感知等数据，开展综合分析与研判，助力城市</w:t>
      </w:r>
      <w:r>
        <w:rPr>
          <w:rFonts w:hint="default" w:ascii="Times New Roman" w:hAnsi="Times New Roman" w:eastAsia="仿宋_GB2312" w:cs="Times New Roman"/>
          <w:bCs/>
          <w:kern w:val="44"/>
          <w:sz w:val="32"/>
          <w:szCs w:val="32"/>
          <w:lang w:val="en-US" w:eastAsia="zh-CN"/>
        </w:rPr>
        <w:t>体检、</w:t>
      </w:r>
      <w:r>
        <w:rPr>
          <w:rFonts w:hint="default" w:ascii="Times New Roman" w:hAnsi="Times New Roman" w:eastAsia="仿宋_GB2312" w:cs="Times New Roman"/>
          <w:bCs/>
          <w:kern w:val="44"/>
          <w:sz w:val="32"/>
          <w:szCs w:val="32"/>
        </w:rPr>
        <w:t>规划、建设、管理、服务等策略精细化、智能化，为城市发展关键事项决策提供基于数据的科学支撑。</w:t>
      </w:r>
    </w:p>
    <w:p w14:paraId="43CD2E7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黑体" w:cs="Times New Roman"/>
          <w:b w:val="0"/>
          <w:bCs/>
          <w:kern w:val="44"/>
          <w:sz w:val="32"/>
          <w:szCs w:val="32"/>
          <w:highlight w:val="none"/>
          <w:lang w:val="en-US" w:eastAsia="zh-CN"/>
        </w:rPr>
      </w:pPr>
      <w:r>
        <w:rPr>
          <w:rFonts w:hint="default" w:ascii="Times New Roman" w:hAnsi="Times New Roman" w:eastAsia="黑体" w:cs="Times New Roman"/>
          <w:b w:val="0"/>
          <w:bCs/>
          <w:kern w:val="44"/>
          <w:sz w:val="32"/>
          <w:szCs w:val="32"/>
          <w:highlight w:val="none"/>
          <w:lang w:val="en-US" w:eastAsia="zh-CN"/>
        </w:rPr>
        <w:t>十三、提高人社公共服务普惠性</w:t>
      </w:r>
    </w:p>
    <w:p w14:paraId="08BF266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bCs/>
          <w:kern w:val="44"/>
          <w:sz w:val="32"/>
          <w:szCs w:val="32"/>
          <w:highlight w:val="none"/>
          <w:lang w:val="en-US" w:eastAsia="zh-CN"/>
        </w:rPr>
      </w:pPr>
      <w:r>
        <w:rPr>
          <w:rFonts w:hint="default" w:ascii="Times New Roman" w:hAnsi="Times New Roman" w:eastAsia="仿宋_GB2312" w:cs="Times New Roman"/>
          <w:bCs/>
          <w:kern w:val="44"/>
          <w:sz w:val="32"/>
          <w:szCs w:val="32"/>
          <w:highlight w:val="none"/>
          <w:lang w:val="en-US" w:eastAsia="zh-CN"/>
        </w:rPr>
        <w:t>体现数据要素在深入推动就业、社保、人事人才、劳动关系等公共服务实现便捷化、普惠化和智能化过程中的放大、叠加、倍增作用，切实满足人民群众对高质量人社公共服务的迫切需求，体现基于数据要素的人社公共服务新应用、新产品、新模式，及其创造出的显著的经济与社会效益。</w:t>
      </w:r>
    </w:p>
    <w:p w14:paraId="3892BF3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highlight w:val="none"/>
          <w:lang w:val="en-US" w:eastAsia="zh-CN"/>
        </w:rPr>
        <w:br w:type="page"/>
      </w:r>
      <w:r>
        <w:rPr>
          <w:rFonts w:hint="default" w:ascii="Times New Roman" w:hAnsi="Times New Roman" w:eastAsia="黑体" w:cs="Times New Roman"/>
          <w:color w:val="000000"/>
          <w:sz w:val="32"/>
          <w:szCs w:val="32"/>
        </w:rPr>
        <w:t>赛道十</w:t>
      </w:r>
      <w:r>
        <w:rPr>
          <w:rFonts w:hint="default"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rPr>
        <w:t>：数据要素</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黑体" w:cs="Times New Roman"/>
          <w:color w:val="000000"/>
          <w:sz w:val="32"/>
          <w:szCs w:val="32"/>
        </w:rPr>
        <w:t>绿色低碳领域赛题指南</w:t>
      </w:r>
    </w:p>
    <w:p w14:paraId="6E691C64">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一、优化生态环境治理服务</w:t>
      </w:r>
    </w:p>
    <w:p w14:paraId="370F8472">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面向气象和水文耦合预报、受灾分析、河湖岸线监测、重污染天气应对、城市水环境精细化管理、环境污染责任保险、</w:t>
      </w:r>
      <w:r>
        <w:rPr>
          <w:rFonts w:hint="default" w:ascii="Times New Roman" w:hAnsi="Times New Roman" w:eastAsia="仿宋_GB2312" w:cs="Times New Roman"/>
          <w:bCs/>
          <w:color w:val="auto"/>
          <w:kern w:val="44"/>
          <w:sz w:val="32"/>
          <w:szCs w:val="32"/>
        </w:rPr>
        <w:t>环境质量监测与评估</w:t>
      </w:r>
      <w:r>
        <w:rPr>
          <w:rFonts w:hint="default" w:ascii="Times New Roman" w:hAnsi="Times New Roman" w:eastAsia="仿宋_GB2312" w:cs="Times New Roman"/>
          <w:bCs/>
          <w:kern w:val="44"/>
          <w:sz w:val="32"/>
          <w:szCs w:val="32"/>
        </w:rPr>
        <w:t>、</w:t>
      </w:r>
      <w:r>
        <w:rPr>
          <w:rFonts w:hint="default" w:ascii="Times New Roman" w:hAnsi="Times New Roman" w:eastAsia="仿宋_GB2312" w:cs="Times New Roman"/>
          <w:bCs/>
          <w:color w:val="auto"/>
          <w:kern w:val="44"/>
          <w:sz w:val="32"/>
          <w:szCs w:val="32"/>
        </w:rPr>
        <w:t>污染源解析与追踪、环境风险预警与应急、环境治理工程智慧应用</w:t>
      </w:r>
      <w:r>
        <w:rPr>
          <w:rFonts w:hint="default" w:ascii="Times New Roman" w:hAnsi="Times New Roman" w:eastAsia="仿宋_GB2312" w:cs="Times New Roman"/>
          <w:bCs/>
          <w:kern w:val="44"/>
          <w:sz w:val="32"/>
          <w:szCs w:val="32"/>
        </w:rPr>
        <w:t>、环境综合决策分析等领域需求，通过对生态环境及气象、水利、交通、电力等相关领域数据资源的融合创新应用，支撑生态环境精准化智慧化治理服务。</w:t>
      </w:r>
    </w:p>
    <w:p w14:paraId="39CC0DFA">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二、促进用能效率提升</w:t>
      </w:r>
    </w:p>
    <w:p w14:paraId="40744B0F">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强化工业生产过程中订单、排产、用电等制造、能源数据的融合创新应用，打造能耗预测、多能互补、梯度定价等创新场景，支撑生产用能效率提升。</w:t>
      </w:r>
    </w:p>
    <w:p w14:paraId="0E46891F">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三、促进资源循环利用</w:t>
      </w:r>
    </w:p>
    <w:p w14:paraId="38D9576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强化对固体废物收集、转移、利用、处置等各环节数据资源的融合创新应用，依托数字技术实现生产端智能化升级、流通环节精准管控、</w:t>
      </w:r>
      <w:r>
        <w:rPr>
          <w:rFonts w:hint="default" w:ascii="Times New Roman" w:hAnsi="Times New Roman" w:eastAsia="仿宋_GB2312" w:cs="Times New Roman"/>
          <w:kern w:val="44"/>
          <w:sz w:val="32"/>
          <w:szCs w:val="32"/>
        </w:rPr>
        <w:t>智能回收终端、智能分选系统、再生工艺优化，</w:t>
      </w:r>
      <w:r>
        <w:rPr>
          <w:rFonts w:hint="default" w:ascii="Times New Roman" w:hAnsi="Times New Roman" w:eastAsia="仿宋_GB2312" w:cs="Times New Roman"/>
          <w:bCs/>
          <w:kern w:val="44"/>
          <w:sz w:val="32"/>
          <w:szCs w:val="32"/>
        </w:rPr>
        <w:t>提升产废、运输、资源化利用各环节效率，促进固废、危废资源化利用。</w:t>
      </w:r>
    </w:p>
    <w:p w14:paraId="415DC45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四、促进生产减排降碳</w:t>
      </w:r>
    </w:p>
    <w:p w14:paraId="53B9B40A">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通过对行业或产品碳排放数据监测、统计、核算，依托数字技术实现实时排放感知网络构建、碳足迹动态追踪、能源系统智能优化、智能核算与报告、碳交易辅助决策、重点领域深度脱碳、负碳技术创新应用，创新能源协同、技术协同、政策协同，服务行业、企业、生产过程减排降碳，提升碳排放管理水平。</w:t>
      </w:r>
    </w:p>
    <w:p w14:paraId="0ADB6BD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Cs w:val="0"/>
          <w:color w:val="000000"/>
          <w:kern w:val="2"/>
          <w:sz w:val="32"/>
          <w:szCs w:val="32"/>
          <w:lang w:val="en-US" w:eastAsia="zh-CN"/>
        </w:rPr>
      </w:pPr>
      <w:r>
        <w:rPr>
          <w:rFonts w:hint="default" w:ascii="Times New Roman" w:hAnsi="Times New Roman" w:eastAsia="仿宋_GB2312" w:cs="Times New Roman"/>
          <w:bCs/>
          <w:kern w:val="44"/>
          <w:sz w:val="32"/>
          <w:szCs w:val="32"/>
        </w:rPr>
        <w:br w:type="page"/>
      </w:r>
      <w:r>
        <w:rPr>
          <w:rFonts w:hint="default" w:ascii="Times New Roman" w:hAnsi="Times New Roman" w:eastAsia="黑体" w:cs="Times New Roman"/>
          <w:bCs w:val="0"/>
          <w:color w:val="000000"/>
          <w:kern w:val="2"/>
          <w:sz w:val="32"/>
          <w:szCs w:val="32"/>
          <w:lang w:val="en-US" w:eastAsia="zh-CN"/>
        </w:rPr>
        <w:t>赛道十四：创新赛道</w:t>
      </w:r>
    </w:p>
    <w:p w14:paraId="64F357A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kern w:val="44"/>
          <w:sz w:val="32"/>
          <w:szCs w:val="32"/>
          <w:lang w:val="en-US" w:eastAsia="zh-CN"/>
        </w:rPr>
      </w:pPr>
      <w:r>
        <w:rPr>
          <w:rFonts w:hint="default" w:ascii="Times New Roman" w:hAnsi="Times New Roman" w:eastAsia="仿宋_GB2312" w:cs="Times New Roman"/>
          <w:bCs/>
          <w:kern w:val="44"/>
          <w:sz w:val="32"/>
          <w:szCs w:val="32"/>
          <w:lang w:val="en-US" w:eastAsia="zh-CN"/>
        </w:rPr>
        <w:t>本赛道不区分特定行业，评价指标将结合项目进行针对性调整。</w:t>
      </w:r>
    </w:p>
    <w:p w14:paraId="1A67AA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kern w:val="44"/>
          <w:sz w:val="32"/>
          <w:szCs w:val="32"/>
          <w:lang w:val="en-US" w:eastAsia="zh-CN"/>
        </w:rPr>
      </w:pPr>
      <w:r>
        <w:rPr>
          <w:rFonts w:hint="default" w:ascii="Times New Roman" w:hAnsi="Times New Roman" w:eastAsia="黑体" w:cs="Times New Roman"/>
          <w:bCs/>
          <w:kern w:val="44"/>
          <w:sz w:val="32"/>
          <w:szCs w:val="32"/>
          <w:lang w:val="en-US" w:eastAsia="zh-CN"/>
        </w:rPr>
        <w:t>一、建设高质量垂直行业大模型数据集</w:t>
      </w:r>
    </w:p>
    <w:p w14:paraId="186B9E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kern w:val="44"/>
          <w:sz w:val="32"/>
          <w:szCs w:val="32"/>
          <w:lang w:val="en-US" w:eastAsia="zh-CN"/>
        </w:rPr>
      </w:pPr>
      <w:r>
        <w:rPr>
          <w:rFonts w:hint="default" w:ascii="Times New Roman" w:hAnsi="Times New Roman" w:eastAsia="仿宋_GB2312" w:cs="Times New Roman"/>
          <w:bCs/>
          <w:kern w:val="44"/>
          <w:sz w:val="32"/>
          <w:szCs w:val="32"/>
          <w:lang w:val="en-US" w:eastAsia="zh-CN"/>
        </w:rPr>
        <w:t>充分发挥</w:t>
      </w:r>
      <w:r>
        <w:rPr>
          <w:rFonts w:hint="eastAsia" w:cs="Times New Roman"/>
          <w:bCs/>
          <w:kern w:val="44"/>
          <w:sz w:val="32"/>
          <w:szCs w:val="32"/>
          <w:lang w:val="en-US" w:eastAsia="zh-CN"/>
        </w:rPr>
        <w:t>自治区</w:t>
      </w:r>
      <w:r>
        <w:rPr>
          <w:rFonts w:hint="default" w:ascii="Times New Roman" w:hAnsi="Times New Roman" w:eastAsia="仿宋_GB2312" w:cs="Times New Roman"/>
          <w:bCs/>
          <w:kern w:val="44"/>
          <w:sz w:val="32"/>
          <w:szCs w:val="32"/>
          <w:lang w:val="en-US" w:eastAsia="zh-CN"/>
        </w:rPr>
        <w:t>海量数据规模</w:t>
      </w:r>
      <w:r>
        <w:rPr>
          <w:rFonts w:hint="eastAsia" w:cs="Times New Roman"/>
          <w:bCs/>
          <w:kern w:val="44"/>
          <w:sz w:val="32"/>
          <w:szCs w:val="32"/>
          <w:lang w:val="en-US" w:eastAsia="zh-CN"/>
        </w:rPr>
        <w:t>、算力规模</w:t>
      </w:r>
      <w:r>
        <w:rPr>
          <w:rFonts w:hint="default" w:ascii="Times New Roman" w:hAnsi="Times New Roman" w:eastAsia="仿宋_GB2312" w:cs="Times New Roman"/>
          <w:bCs/>
          <w:kern w:val="44"/>
          <w:sz w:val="32"/>
          <w:szCs w:val="32"/>
          <w:lang w:val="en-US" w:eastAsia="zh-CN"/>
        </w:rPr>
        <w:t>和丰富应用场景优势，引导更多行业领域开放应用场景、共享训练数据、整合建设行业数据集，推动大模型技术在垂直行业的融合应用，利用大模型为细分应用场景提供更加精准、专业的解决方案，进一步释放人工智能赋能作用。</w:t>
      </w:r>
    </w:p>
    <w:p w14:paraId="6DB1E37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kern w:val="44"/>
          <w:sz w:val="32"/>
          <w:szCs w:val="32"/>
          <w:lang w:val="en-US" w:eastAsia="zh-CN"/>
        </w:rPr>
      </w:pPr>
      <w:r>
        <w:rPr>
          <w:rFonts w:hint="default" w:ascii="Times New Roman" w:hAnsi="Times New Roman" w:eastAsia="黑体" w:cs="Times New Roman"/>
          <w:bCs/>
          <w:kern w:val="44"/>
          <w:sz w:val="32"/>
          <w:szCs w:val="32"/>
          <w:lang w:val="en-US" w:eastAsia="zh-CN"/>
        </w:rPr>
        <w:t>二、其他创新性赛题</w:t>
      </w:r>
    </w:p>
    <w:p w14:paraId="2B8074B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kern w:val="44"/>
          <w:sz w:val="32"/>
          <w:szCs w:val="32"/>
          <w:lang w:val="en-US" w:eastAsia="zh-CN"/>
        </w:rPr>
      </w:pPr>
      <w:r>
        <w:rPr>
          <w:rFonts w:hint="default" w:ascii="Times New Roman" w:hAnsi="Times New Roman" w:eastAsia="仿宋_GB2312" w:cs="Times New Roman"/>
          <w:bCs/>
          <w:kern w:val="44"/>
          <w:sz w:val="32"/>
          <w:szCs w:val="32"/>
          <w:lang w:val="en-US" w:eastAsia="zh-CN"/>
        </w:rPr>
        <w:t>本赛题为开放性赛题，与公共数据、企业数据等各类型数据开发利用有关的新技术、新产品、新模式、新场景等均可参与本赛道。</w:t>
      </w:r>
    </w:p>
    <w:p w14:paraId="4B82AD5F"/>
    <w:sectPr>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B52BA"/>
    <w:rsid w:val="312B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064" w:firstLineChars="20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2025-05-14T10:31:00Z</dcterms:created>
  <dc:creator>。</dc:creator>
  <cp:lastModifiedBy>。</cp:lastModifiedBy>
  <dcterms:modified xsi:type="dcterms:W3CDTF">2025-05-14T10:32:01Z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14343F5E516D46B99C7A10BC3A0B864A_11</vt:lpwstr>
  </property>
  <property fmtid="{D5CDD505-2E9C-101B-9397-08002B2CF9AE}" pid="4" name="KSOTemplateDocerSaveRecord">
    <vt:lpwstr>eyJoZGlkIjoiYmY0NDY4ZDQ1Njk2ZjQ4YjUyYmQwMWI1ZWFmNzYyZDciLCJ1c2VySWQiOiIzNjc4NzQ2MjMifQ==</vt:lpwstr>
  </property>
</Properties>
</file>