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6D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textAlignment w:val="auto"/>
        <w:outlineLvl w:val="0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</w:p>
    <w:p w14:paraId="41807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2"/>
          <w:sz w:val="40"/>
          <w:szCs w:val="40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000000"/>
          <w:kern w:val="2"/>
          <w:sz w:val="40"/>
          <w:szCs w:val="40"/>
          <w:lang w:val="en-US" w:eastAsia="zh-CN" w:bidi="ar-SA"/>
        </w:rPr>
        <w:t>2025年“数据要素</w:t>
      </w:r>
      <w:r>
        <w:rPr>
          <w:rFonts w:hint="eastAsia" w:ascii="仿宋_GB2312" w:hAnsi="仿宋_GB2312" w:eastAsia="仿宋_GB2312" w:cs="仿宋_GB2312"/>
          <w:color w:val="000000"/>
          <w:kern w:val="2"/>
          <w:sz w:val="40"/>
          <w:szCs w:val="40"/>
          <w:lang w:val="en-US" w:eastAsia="zh-CN" w:bidi="ar-SA"/>
        </w:rPr>
        <w:t>×</w:t>
      </w:r>
      <w:r>
        <w:rPr>
          <w:rFonts w:hint="default" w:ascii="Times New Roman" w:hAnsi="Times New Roman" w:eastAsia="方正小标宋简体" w:cs="Times New Roman"/>
          <w:color w:val="000000"/>
          <w:kern w:val="2"/>
          <w:sz w:val="40"/>
          <w:szCs w:val="40"/>
          <w:lang w:val="en-US" w:eastAsia="zh-CN" w:bidi="ar-SA"/>
        </w:rPr>
        <w:t>”大赛</w:t>
      </w:r>
      <w:r>
        <w:rPr>
          <w:rFonts w:hint="eastAsia" w:eastAsia="方正小标宋简体" w:cs="Times New Roman"/>
          <w:color w:val="000000"/>
          <w:kern w:val="2"/>
          <w:sz w:val="40"/>
          <w:szCs w:val="40"/>
          <w:lang w:val="en-US" w:eastAsia="zh-CN" w:bidi="ar-SA"/>
        </w:rPr>
        <w:t>新疆分赛</w:t>
      </w:r>
      <w:r>
        <w:rPr>
          <w:rFonts w:hint="default" w:ascii="Times New Roman" w:hAnsi="Times New Roman" w:eastAsia="方正小标宋简体" w:cs="Times New Roman"/>
          <w:color w:val="000000"/>
          <w:kern w:val="2"/>
          <w:sz w:val="40"/>
          <w:szCs w:val="40"/>
          <w:lang w:val="en-US" w:eastAsia="zh-CN" w:bidi="ar-SA"/>
        </w:rPr>
        <w:t>评价指标</w:t>
      </w:r>
    </w:p>
    <w:p w14:paraId="1A5A3DAF">
      <w:pPr>
        <w:widowControl w:val="0"/>
        <w:spacing w:line="57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2"/>
          <w:sz w:val="40"/>
          <w:szCs w:val="40"/>
          <w:lang w:val="en-US" w:eastAsia="zh-CN" w:bidi="ar-SA"/>
        </w:rPr>
      </w:pPr>
    </w:p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3509"/>
        <w:gridCol w:w="4104"/>
      </w:tblGrid>
      <w:tr w14:paraId="415EE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noWrap w:val="0"/>
            <w:vAlign w:val="center"/>
          </w:tcPr>
          <w:p w14:paraId="53184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outlineLvl w:val="0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一级指标</w:t>
            </w:r>
          </w:p>
        </w:tc>
        <w:tc>
          <w:tcPr>
            <w:tcW w:w="1937" w:type="pct"/>
            <w:noWrap w:val="0"/>
            <w:vAlign w:val="center"/>
          </w:tcPr>
          <w:p w14:paraId="0D038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outlineLvl w:val="0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二级指标</w:t>
            </w:r>
          </w:p>
        </w:tc>
        <w:tc>
          <w:tcPr>
            <w:tcW w:w="2265" w:type="pct"/>
            <w:noWrap w:val="0"/>
            <w:vAlign w:val="center"/>
          </w:tcPr>
          <w:p w14:paraId="552D6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outlineLvl w:val="0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三级指标</w:t>
            </w:r>
          </w:p>
        </w:tc>
      </w:tr>
      <w:tr w14:paraId="72013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Merge w:val="restart"/>
            <w:noWrap w:val="0"/>
            <w:vAlign w:val="center"/>
          </w:tcPr>
          <w:p w14:paraId="37436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outlineLvl w:val="0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先进性</w:t>
            </w:r>
          </w:p>
          <w:p w14:paraId="4DDB1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outlineLvl w:val="0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7" w:type="pct"/>
            <w:vMerge w:val="restart"/>
            <w:noWrap w:val="0"/>
            <w:vAlign w:val="center"/>
          </w:tcPr>
          <w:p w14:paraId="1899E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数据治理</w:t>
            </w:r>
          </w:p>
        </w:tc>
        <w:tc>
          <w:tcPr>
            <w:tcW w:w="2265" w:type="pct"/>
            <w:noWrap w:val="0"/>
            <w:vAlign w:val="center"/>
          </w:tcPr>
          <w:p w14:paraId="01D0A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数据治理标准规范</w:t>
            </w:r>
          </w:p>
        </w:tc>
      </w:tr>
      <w:tr w14:paraId="58B17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Merge w:val="continue"/>
            <w:noWrap w:val="0"/>
            <w:vAlign w:val="center"/>
          </w:tcPr>
          <w:p w14:paraId="35625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outlineLvl w:val="0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7" w:type="pct"/>
            <w:vMerge w:val="continue"/>
            <w:noWrap w:val="0"/>
            <w:vAlign w:val="center"/>
          </w:tcPr>
          <w:p w14:paraId="756A9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5" w:type="pct"/>
            <w:noWrap w:val="0"/>
            <w:vAlign w:val="center"/>
          </w:tcPr>
          <w:p w14:paraId="4A7C4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数据全生命周期管理</w:t>
            </w:r>
          </w:p>
        </w:tc>
      </w:tr>
      <w:tr w14:paraId="55490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Merge w:val="continue"/>
            <w:noWrap w:val="0"/>
            <w:vAlign w:val="center"/>
          </w:tcPr>
          <w:p w14:paraId="6AE63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outlineLvl w:val="0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7" w:type="pct"/>
            <w:vMerge w:val="continue"/>
            <w:noWrap w:val="0"/>
            <w:vAlign w:val="center"/>
          </w:tcPr>
          <w:p w14:paraId="40A83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5" w:type="pct"/>
            <w:noWrap w:val="0"/>
            <w:vAlign w:val="center"/>
          </w:tcPr>
          <w:p w14:paraId="4FC4D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数据合规情况</w:t>
            </w:r>
          </w:p>
        </w:tc>
      </w:tr>
      <w:tr w14:paraId="6FC9B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Merge w:val="continue"/>
            <w:noWrap w:val="0"/>
            <w:vAlign w:val="center"/>
          </w:tcPr>
          <w:p w14:paraId="2668A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outlineLvl w:val="0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7" w:type="pct"/>
            <w:vMerge w:val="continue"/>
            <w:noWrap w:val="0"/>
            <w:vAlign w:val="center"/>
          </w:tcPr>
          <w:p w14:paraId="35E90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5" w:type="pct"/>
            <w:noWrap w:val="0"/>
            <w:vAlign w:val="center"/>
          </w:tcPr>
          <w:p w14:paraId="36F16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数据安全情况</w:t>
            </w:r>
          </w:p>
        </w:tc>
      </w:tr>
      <w:tr w14:paraId="7160C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Merge w:val="continue"/>
            <w:noWrap w:val="0"/>
            <w:vAlign w:val="center"/>
          </w:tcPr>
          <w:p w14:paraId="5CD55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outlineLvl w:val="0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7" w:type="pct"/>
            <w:vMerge w:val="restart"/>
            <w:noWrap w:val="0"/>
            <w:vAlign w:val="center"/>
          </w:tcPr>
          <w:p w14:paraId="2B1D6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数据应用场景培育</w:t>
            </w:r>
          </w:p>
        </w:tc>
        <w:tc>
          <w:tcPr>
            <w:tcW w:w="2265" w:type="pct"/>
            <w:noWrap w:val="0"/>
            <w:vAlign w:val="center"/>
          </w:tcPr>
          <w:p w14:paraId="2BE0B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数据来源多元化</w:t>
            </w:r>
          </w:p>
        </w:tc>
      </w:tr>
      <w:tr w14:paraId="262EF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Merge w:val="continue"/>
            <w:noWrap w:val="0"/>
            <w:vAlign w:val="center"/>
          </w:tcPr>
          <w:p w14:paraId="2C18F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outlineLvl w:val="0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7" w:type="pct"/>
            <w:vMerge w:val="continue"/>
            <w:noWrap w:val="0"/>
            <w:vAlign w:val="center"/>
          </w:tcPr>
          <w:p w14:paraId="69FDE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5" w:type="pct"/>
            <w:noWrap w:val="0"/>
            <w:vAlign w:val="center"/>
          </w:tcPr>
          <w:p w14:paraId="68137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数据和业务融合度</w:t>
            </w:r>
          </w:p>
        </w:tc>
      </w:tr>
      <w:tr w14:paraId="762B7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Merge w:val="continue"/>
            <w:noWrap w:val="0"/>
            <w:vAlign w:val="center"/>
          </w:tcPr>
          <w:p w14:paraId="0E846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outlineLvl w:val="0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7" w:type="pct"/>
            <w:vMerge w:val="continue"/>
            <w:noWrap w:val="0"/>
            <w:vAlign w:val="center"/>
          </w:tcPr>
          <w:p w14:paraId="18707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5" w:type="pct"/>
            <w:noWrap w:val="0"/>
            <w:vAlign w:val="center"/>
          </w:tcPr>
          <w:p w14:paraId="17E70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数据服务及产品丰富度</w:t>
            </w:r>
          </w:p>
        </w:tc>
      </w:tr>
      <w:tr w14:paraId="64643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Merge w:val="continue"/>
            <w:noWrap w:val="0"/>
            <w:vAlign w:val="center"/>
          </w:tcPr>
          <w:p w14:paraId="5172A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outlineLvl w:val="0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7" w:type="pct"/>
            <w:vMerge w:val="restart"/>
            <w:noWrap w:val="0"/>
            <w:vAlign w:val="center"/>
          </w:tcPr>
          <w:p w14:paraId="6CC16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技术创新及机制创新水平</w:t>
            </w:r>
          </w:p>
        </w:tc>
        <w:tc>
          <w:tcPr>
            <w:tcW w:w="2265" w:type="pct"/>
            <w:noWrap w:val="0"/>
            <w:vAlign w:val="center"/>
          </w:tcPr>
          <w:p w14:paraId="6804F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数据技术创新情况</w:t>
            </w:r>
          </w:p>
        </w:tc>
      </w:tr>
      <w:tr w14:paraId="3BF24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Merge w:val="continue"/>
            <w:noWrap w:val="0"/>
            <w:vAlign w:val="center"/>
          </w:tcPr>
          <w:p w14:paraId="5C4D7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outlineLvl w:val="0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7" w:type="pct"/>
            <w:vMerge w:val="continue"/>
            <w:noWrap w:val="0"/>
            <w:vAlign w:val="center"/>
          </w:tcPr>
          <w:p w14:paraId="1BB08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5" w:type="pct"/>
            <w:noWrap w:val="0"/>
            <w:vAlign w:val="center"/>
          </w:tcPr>
          <w:p w14:paraId="1FE41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数据开发模式创新</w:t>
            </w:r>
          </w:p>
        </w:tc>
      </w:tr>
      <w:tr w14:paraId="5137B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Merge w:val="continue"/>
            <w:noWrap w:val="0"/>
            <w:vAlign w:val="center"/>
          </w:tcPr>
          <w:p w14:paraId="72E8F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outlineLvl w:val="0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7" w:type="pct"/>
            <w:vMerge w:val="continue"/>
            <w:noWrap w:val="0"/>
            <w:vAlign w:val="center"/>
          </w:tcPr>
          <w:p w14:paraId="69408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5" w:type="pct"/>
            <w:noWrap w:val="0"/>
            <w:vAlign w:val="center"/>
          </w:tcPr>
          <w:p w14:paraId="44B71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数据流通模式创新</w:t>
            </w:r>
          </w:p>
        </w:tc>
      </w:tr>
      <w:tr w14:paraId="469DA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Merge w:val="restart"/>
            <w:noWrap w:val="0"/>
            <w:vAlign w:val="center"/>
          </w:tcPr>
          <w:p w14:paraId="477FE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outlineLvl w:val="0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实效性</w:t>
            </w:r>
          </w:p>
          <w:p w14:paraId="304DD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outlineLvl w:val="0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7" w:type="pct"/>
            <w:vMerge w:val="restart"/>
            <w:noWrap w:val="0"/>
            <w:vAlign w:val="center"/>
          </w:tcPr>
          <w:p w14:paraId="6FD10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解决问题重要程度</w:t>
            </w:r>
          </w:p>
        </w:tc>
        <w:tc>
          <w:tcPr>
            <w:tcW w:w="2265" w:type="pct"/>
            <w:noWrap w:val="0"/>
            <w:vAlign w:val="center"/>
          </w:tcPr>
          <w:p w14:paraId="66AC4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问题重要性</w:t>
            </w:r>
          </w:p>
        </w:tc>
      </w:tr>
      <w:tr w14:paraId="7AFB6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Merge w:val="continue"/>
            <w:noWrap w:val="0"/>
            <w:vAlign w:val="center"/>
          </w:tcPr>
          <w:p w14:paraId="0D98E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outlineLvl w:val="0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7" w:type="pct"/>
            <w:vMerge w:val="continue"/>
            <w:noWrap w:val="0"/>
            <w:vAlign w:val="center"/>
          </w:tcPr>
          <w:p w14:paraId="65D58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5" w:type="pct"/>
            <w:noWrap w:val="0"/>
            <w:vAlign w:val="center"/>
          </w:tcPr>
          <w:p w14:paraId="1494B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问题解决程度</w:t>
            </w:r>
          </w:p>
        </w:tc>
      </w:tr>
      <w:tr w14:paraId="6D86A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Merge w:val="continue"/>
            <w:noWrap w:val="0"/>
            <w:vAlign w:val="center"/>
          </w:tcPr>
          <w:p w14:paraId="6A99C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outlineLvl w:val="0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7" w:type="pct"/>
            <w:vMerge w:val="restart"/>
            <w:noWrap w:val="0"/>
            <w:vAlign w:val="center"/>
          </w:tcPr>
          <w:p w14:paraId="180E8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经济社会效益</w:t>
            </w:r>
          </w:p>
        </w:tc>
        <w:tc>
          <w:tcPr>
            <w:tcW w:w="2265" w:type="pct"/>
            <w:noWrap w:val="0"/>
            <w:vAlign w:val="center"/>
          </w:tcPr>
          <w:p w14:paraId="517BC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经济效益</w:t>
            </w:r>
          </w:p>
        </w:tc>
      </w:tr>
      <w:tr w14:paraId="64275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Merge w:val="continue"/>
            <w:noWrap w:val="0"/>
            <w:vAlign w:val="center"/>
          </w:tcPr>
          <w:p w14:paraId="6EE41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outlineLvl w:val="0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7" w:type="pct"/>
            <w:vMerge w:val="continue"/>
            <w:noWrap w:val="0"/>
            <w:vAlign w:val="center"/>
          </w:tcPr>
          <w:p w14:paraId="54329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5" w:type="pct"/>
            <w:noWrap w:val="0"/>
            <w:vAlign w:val="center"/>
          </w:tcPr>
          <w:p w14:paraId="7FD77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社会效益</w:t>
            </w:r>
          </w:p>
        </w:tc>
      </w:tr>
      <w:tr w14:paraId="51838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Merge w:val="restart"/>
            <w:noWrap w:val="0"/>
            <w:vAlign w:val="center"/>
          </w:tcPr>
          <w:p w14:paraId="5A5FBD1E">
            <w:pPr>
              <w:keepNext w:val="0"/>
              <w:keepLines w:val="0"/>
              <w:pageBreakBefore w:val="0"/>
              <w:widowControl w:val="0"/>
              <w:tabs>
                <w:tab w:val="center" w:pos="10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outlineLvl w:val="0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示范性</w:t>
            </w:r>
          </w:p>
        </w:tc>
        <w:tc>
          <w:tcPr>
            <w:tcW w:w="1937" w:type="pct"/>
            <w:vMerge w:val="restart"/>
            <w:noWrap w:val="0"/>
            <w:vAlign w:val="center"/>
          </w:tcPr>
          <w:p w14:paraId="73733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数据治理模式推广</w:t>
            </w:r>
          </w:p>
        </w:tc>
        <w:tc>
          <w:tcPr>
            <w:tcW w:w="2265" w:type="pct"/>
            <w:noWrap w:val="0"/>
            <w:vAlign w:val="center"/>
          </w:tcPr>
          <w:p w14:paraId="17341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治理模式可复制性</w:t>
            </w:r>
          </w:p>
        </w:tc>
      </w:tr>
      <w:tr w14:paraId="35BA5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Merge w:val="continue"/>
            <w:noWrap w:val="0"/>
            <w:vAlign w:val="center"/>
          </w:tcPr>
          <w:p w14:paraId="4D64D564">
            <w:pPr>
              <w:keepNext w:val="0"/>
              <w:keepLines w:val="0"/>
              <w:pageBreakBefore w:val="0"/>
              <w:widowControl w:val="0"/>
              <w:tabs>
                <w:tab w:val="center" w:pos="10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outlineLvl w:val="0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7" w:type="pct"/>
            <w:vMerge w:val="continue"/>
            <w:noWrap w:val="0"/>
            <w:vAlign w:val="center"/>
          </w:tcPr>
          <w:p w14:paraId="43F73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5" w:type="pct"/>
            <w:noWrap w:val="0"/>
            <w:vAlign w:val="center"/>
          </w:tcPr>
          <w:p w14:paraId="0830F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治理标准可推广性</w:t>
            </w:r>
          </w:p>
        </w:tc>
      </w:tr>
      <w:tr w14:paraId="29E3B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Merge w:val="continue"/>
            <w:noWrap w:val="0"/>
            <w:vAlign w:val="center"/>
          </w:tcPr>
          <w:p w14:paraId="09686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7" w:type="pct"/>
            <w:vMerge w:val="restart"/>
            <w:noWrap w:val="0"/>
            <w:vAlign w:val="center"/>
          </w:tcPr>
          <w:p w14:paraId="09756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数据流通模式推广</w:t>
            </w:r>
          </w:p>
        </w:tc>
        <w:tc>
          <w:tcPr>
            <w:tcW w:w="2265" w:type="pct"/>
            <w:noWrap w:val="0"/>
            <w:vAlign w:val="center"/>
          </w:tcPr>
          <w:p w14:paraId="31076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流通模式可复制性</w:t>
            </w:r>
          </w:p>
        </w:tc>
      </w:tr>
      <w:tr w14:paraId="34EDF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Merge w:val="continue"/>
            <w:noWrap w:val="0"/>
            <w:vAlign w:val="center"/>
          </w:tcPr>
          <w:p w14:paraId="57337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7" w:type="pct"/>
            <w:vMerge w:val="continue"/>
            <w:noWrap w:val="0"/>
            <w:vAlign w:val="center"/>
          </w:tcPr>
          <w:p w14:paraId="10864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5" w:type="pct"/>
            <w:noWrap w:val="0"/>
            <w:vAlign w:val="center"/>
          </w:tcPr>
          <w:p w14:paraId="5E5A0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流通模式可推广性</w:t>
            </w:r>
          </w:p>
        </w:tc>
      </w:tr>
    </w:tbl>
    <w:p w14:paraId="4070B787">
      <w:pPr>
        <w:ind w:left="0" w:leftChars="0" w:firstLine="600" w:firstLineChars="200"/>
        <w:rPr>
          <w:rFonts w:hint="eastAsia" w:ascii="楷体" w:hAnsi="楷体" w:eastAsia="楷体" w:cs="楷体"/>
          <w:sz w:val="30"/>
          <w:szCs w:val="30"/>
          <w:lang w:val="en-US" w:eastAsia="zh-CN"/>
        </w:rPr>
      </w:pPr>
    </w:p>
    <w:p w14:paraId="1DB7B371">
      <w:pPr>
        <w:ind w:left="0" w:leftChars="0" w:firstLine="600" w:firstLineChars="200"/>
        <w:rPr>
          <w:rFonts w:hint="eastAsia" w:eastAsia="仿宋_GB2312"/>
          <w:lang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注：</w:t>
      </w:r>
      <w:r>
        <w:rPr>
          <w:rFonts w:hint="eastAsia" w:ascii="楷体" w:hAnsi="楷体" w:eastAsia="楷体" w:cs="楷体"/>
          <w:sz w:val="30"/>
          <w:szCs w:val="30"/>
          <w:highlight w:val="none"/>
          <w:lang w:val="en-US" w:eastAsia="zh-CN"/>
        </w:rPr>
        <w:t>后续将结合新疆产业特点修订新疆分赛各赛道评审指标，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个别领域特别突出的项目将视情况提高相应指标分数占比。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C330E"/>
    <w:rsid w:val="787C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1064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2025-05-14T10:32:00Z</dcterms:created>
  <dc:creator>。</dc:creator>
  <cp:lastModifiedBy>。</cp:lastModifiedBy>
  <dcterms:modified xsi:type="dcterms:W3CDTF">2025-05-14T10:33:18Z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053F2D844C2F4B14A0F7213315F887D3_11</vt:lpwstr>
  </property>
  <property fmtid="{D5CDD505-2E9C-101B-9397-08002B2CF9AE}" pid="4" name="KSOTemplateDocerSaveRecord">
    <vt:lpwstr>eyJoZGlkIjoiYmY0NDY4ZDQ1Njk2ZjQ4YjUyYmQwMWI1ZWFmNzYyZDciLCJ1c2VySWQiOiIzNjc4NzQ2MjMifQ==</vt:lpwstr>
  </property>
</Properties>
</file>