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E2F4">
      <w:pPr>
        <w:adjustRightInd w:val="0"/>
        <w:snapToGrid w:val="0"/>
        <w:spacing w:line="560" w:lineRule="exact"/>
        <w:ind w:firstLine="198" w:firstLineChars="62"/>
        <w:jc w:val="both"/>
        <w:rPr>
          <w:rFonts w:hint="eastAsia" w:ascii="黑体" w:hAnsi="黑体" w:eastAsia="黑体"/>
          <w:sz w:val="32"/>
          <w:szCs w:val="32"/>
        </w:rPr>
      </w:pPr>
      <w:bookmarkStart w:id="0" w:name="_GoBack"/>
      <w:bookmarkEnd w:id="0"/>
      <w:r>
        <w:rPr>
          <w:rFonts w:hint="eastAsia" w:ascii="黑体" w:hAnsi="黑体" w:eastAsia="黑体"/>
          <w:sz w:val="32"/>
          <w:szCs w:val="32"/>
        </w:rPr>
        <w:t>附件3</w:t>
      </w:r>
    </w:p>
    <w:p w14:paraId="17715CFF">
      <w:pPr>
        <w:ind w:firstLine="0" w:firstLineChars="0"/>
        <w:jc w:val="center"/>
        <w:rPr>
          <w:rFonts w:ascii="方正小标宋简体" w:hAnsi="Times New Roman" w:eastAsia="方正小标宋简体" w:cs="Times New Roman"/>
          <w:sz w:val="40"/>
          <w:szCs w:val="40"/>
        </w:rPr>
      </w:pPr>
    </w:p>
    <w:p w14:paraId="73095882">
      <w:pPr>
        <w:ind w:firstLine="0" w:firstLineChars="0"/>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优秀“小快轻准”产品和解决方案申报要求</w:t>
      </w:r>
    </w:p>
    <w:p w14:paraId="48956412">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拟申报优秀“小快轻准”数字化转型产品和解决方案应满足以下要求：</w:t>
      </w:r>
    </w:p>
    <w:p w14:paraId="262CCF4C">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一、基本要求</w:t>
      </w:r>
    </w:p>
    <w:p w14:paraId="20195866">
      <w:pPr>
        <w:adjustRightInd w:val="0"/>
        <w:snapToGrid w:val="0"/>
        <w:spacing w:line="560" w:lineRule="exact"/>
        <w:ind w:firstLine="640"/>
        <w:jc w:val="both"/>
        <w:rPr>
          <w:rFonts w:hint="eastAsia" w:ascii="仿宋_GB2312" w:hAnsi="仿宋"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申报主体应在中华人民共和国境内注册登记，具有独立法人资格，近三年财务状况良好，在信用等方面无不良记录。</w:t>
      </w:r>
    </w:p>
    <w:p w14:paraId="076106F7">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2.“小快轻准”产品和解决方案的申报主体已经入选昌吉州中小企业数字化转型试点城市服务商资源池。</w:t>
      </w:r>
    </w:p>
    <w:p w14:paraId="3054F744">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3.“小快轻准”产品和解决方案的申报主体应拥有该产品的知识产权或独家代理权。</w:t>
      </w:r>
    </w:p>
    <w:p w14:paraId="469EB4C2">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二、具体要求</w:t>
      </w:r>
    </w:p>
    <w:p w14:paraId="51895423">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1.“小快轻准”产品和解决方案适用行业、企业规模、典型应用场景符合昌吉州试点企业数字化改造需求。</w:t>
      </w:r>
    </w:p>
    <w:p w14:paraId="1C6D9E81">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2.申报的“小快轻准”产品和解决方案应在昌吉州试点企业数字化改造中已经得到应用，并有通过验收评测数字化水平达到二级及以上且成效显著的案例。</w:t>
      </w:r>
    </w:p>
    <w:p w14:paraId="346681E5">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3.每个申报主体最多申报不超过3个“小快轻准”产品。</w:t>
      </w:r>
    </w:p>
    <w:p w14:paraId="5B920F86">
      <w:pPr>
        <w:adjustRightInd w:val="0"/>
        <w:snapToGrid w:val="0"/>
        <w:spacing w:line="560" w:lineRule="exact"/>
        <w:ind w:firstLine="640"/>
        <w:jc w:val="both"/>
        <w:rPr>
          <w:rFonts w:hint="eastAsia" w:ascii="黑体" w:hAnsi="黑体" w:eastAsia="黑体"/>
          <w:sz w:val="32"/>
          <w:szCs w:val="32"/>
        </w:rPr>
      </w:pPr>
      <w:r>
        <w:rPr>
          <w:rFonts w:hint="eastAsia" w:ascii="黑体" w:hAnsi="黑体" w:eastAsia="黑体"/>
          <w:sz w:val="32"/>
          <w:szCs w:val="32"/>
        </w:rPr>
        <w:t>三、申报书要求</w:t>
      </w:r>
    </w:p>
    <w:p w14:paraId="0D6A5FA6">
      <w:pPr>
        <w:adjustRightInd w:val="0"/>
        <w:snapToGrid w:val="0"/>
        <w:spacing w:line="560" w:lineRule="exact"/>
        <w:ind w:firstLine="640"/>
        <w:jc w:val="both"/>
        <w:rPr>
          <w:rFonts w:hint="eastAsia" w:ascii="仿宋_GB2312" w:hAnsi="仿宋" w:eastAsia="仿宋_GB2312" w:cs="Times New Roman"/>
          <w:sz w:val="28"/>
          <w:szCs w:val="28"/>
        </w:rPr>
      </w:pPr>
      <w:r>
        <w:rPr>
          <w:rFonts w:hint="eastAsia" w:ascii="仿宋_GB2312" w:hAnsi="仿宋" w:eastAsia="仿宋_GB2312"/>
          <w:sz w:val="32"/>
          <w:szCs w:val="32"/>
        </w:rPr>
        <w:t>拟申报优秀“小快轻准”产品和解决方案的企业，请根据申报方向按照以下模板编写申报书。</w:t>
      </w:r>
    </w:p>
    <w:p w14:paraId="44E42039">
      <w:pPr>
        <w:adjustRightInd w:val="0"/>
        <w:snapToGrid w:val="0"/>
        <w:spacing w:line="560" w:lineRule="exact"/>
        <w:ind w:firstLine="198" w:firstLineChars="62"/>
        <w:jc w:val="both"/>
        <w:rPr>
          <w:rFonts w:hint="eastAsia" w:ascii="黑体" w:hAnsi="黑体" w:eastAsia="黑体"/>
          <w:sz w:val="32"/>
          <w:szCs w:val="32"/>
        </w:rPr>
      </w:pPr>
    </w:p>
    <w:p w14:paraId="7EB4F808">
      <w:pPr>
        <w:adjustRightInd w:val="0"/>
        <w:snapToGrid w:val="0"/>
        <w:spacing w:line="560" w:lineRule="exact"/>
        <w:ind w:firstLine="198" w:firstLineChars="62"/>
        <w:jc w:val="both"/>
        <w:rPr>
          <w:rFonts w:hint="eastAsia" w:ascii="黑体" w:hAnsi="黑体" w:eastAsia="黑体"/>
          <w:sz w:val="32"/>
          <w:szCs w:val="32"/>
        </w:rPr>
      </w:pPr>
    </w:p>
    <w:p w14:paraId="7F9C3620">
      <w:pPr>
        <w:widowControl w:val="0"/>
        <w:spacing w:after="160" w:line="278" w:lineRule="auto"/>
        <w:ind w:firstLine="0" w:firstLineChars="0"/>
        <w:jc w:val="center"/>
        <w:rPr>
          <w:rFonts w:hint="eastAsia" w:ascii="方正小标宋简体" w:hAnsi="仿宋" w:eastAsia="方正小标宋简体" w:cs="Times New Roman"/>
          <w:sz w:val="44"/>
          <w:szCs w:val="44"/>
        </w:rPr>
      </w:pPr>
    </w:p>
    <w:p w14:paraId="26D56722">
      <w:pPr>
        <w:widowControl w:val="0"/>
        <w:spacing w:after="160" w:line="278" w:lineRule="auto"/>
        <w:ind w:firstLine="0" w:firstLineChars="0"/>
        <w:jc w:val="center"/>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t>优秀“小快轻准”产品和解决方案申报书</w:t>
      </w:r>
    </w:p>
    <w:p w14:paraId="63E2406B">
      <w:pPr>
        <w:widowControl w:val="0"/>
        <w:spacing w:after="160" w:line="278" w:lineRule="auto"/>
        <w:ind w:firstLine="0" w:firstLineChars="0"/>
        <w:jc w:val="center"/>
        <w:rPr>
          <w:rFonts w:hint="eastAsia" w:ascii="楷体_GB2312" w:hAnsi="仿宋" w:eastAsia="楷体_GB2312" w:cs="Times New Roman"/>
          <w:sz w:val="32"/>
          <w:szCs w:val="32"/>
        </w:rPr>
      </w:pPr>
      <w:r>
        <w:rPr>
          <w:rFonts w:hint="eastAsia" w:ascii="楷体_GB2312" w:hAnsi="仿宋" w:eastAsia="楷体_GB2312" w:cs="Times New Roman"/>
          <w:sz w:val="32"/>
          <w:szCs w:val="32"/>
        </w:rPr>
        <w:t>（模板）</w:t>
      </w:r>
    </w:p>
    <w:p w14:paraId="79CE2421">
      <w:pPr>
        <w:widowControl w:val="0"/>
        <w:spacing w:after="160" w:line="278" w:lineRule="auto"/>
        <w:ind w:firstLine="0" w:firstLineChars="0"/>
        <w:jc w:val="center"/>
        <w:rPr>
          <w:rFonts w:hint="eastAsia" w:ascii="仿宋" w:hAnsi="仿宋" w:eastAsia="仿宋" w:cs="Times New Roman"/>
          <w:sz w:val="32"/>
          <w:szCs w:val="32"/>
        </w:rPr>
      </w:pPr>
    </w:p>
    <w:p w14:paraId="744D0F54">
      <w:pPr>
        <w:widowControl w:val="0"/>
        <w:spacing w:after="160" w:line="278" w:lineRule="auto"/>
        <w:ind w:firstLine="0" w:firstLineChars="0"/>
        <w:jc w:val="center"/>
        <w:rPr>
          <w:rFonts w:hint="eastAsia" w:ascii="仿宋" w:hAnsi="仿宋" w:eastAsia="仿宋" w:cs="Times New Roman"/>
          <w:sz w:val="32"/>
          <w:szCs w:val="32"/>
        </w:rPr>
      </w:pPr>
    </w:p>
    <w:p w14:paraId="4B5207C5">
      <w:pPr>
        <w:widowControl w:val="0"/>
        <w:spacing w:after="160" w:line="278" w:lineRule="auto"/>
        <w:ind w:firstLine="851" w:firstLineChars="265"/>
        <w:rPr>
          <w:rFonts w:hint="eastAsia" w:ascii="仿宋" w:hAnsi="仿宋" w:eastAsia="仿宋" w:cs="Times New Roman"/>
          <w:sz w:val="32"/>
          <w:szCs w:val="32"/>
          <w:u w:val="single"/>
        </w:rPr>
      </w:pPr>
      <w:r>
        <w:rPr>
          <w:rFonts w:hint="eastAsia" w:ascii="仿宋" w:hAnsi="仿宋" w:eastAsia="仿宋" w:cs="Times New Roman"/>
          <w:b/>
          <w:bCs/>
          <w:sz w:val="32"/>
          <w:szCs w:val="32"/>
        </w:rPr>
        <w:t>申报单位（盖章）</w:t>
      </w:r>
      <w:r>
        <w:rPr>
          <w:rFonts w:hint="eastAsia" w:ascii="仿宋" w:hAnsi="仿宋" w:eastAsia="仿宋" w:cs="Times New Roman"/>
          <w:sz w:val="32"/>
          <w:szCs w:val="32"/>
        </w:rPr>
        <w:t>：</w:t>
      </w:r>
      <w:r>
        <w:rPr>
          <w:rFonts w:hint="eastAsia" w:ascii="仿宋" w:hAnsi="仿宋" w:eastAsia="仿宋" w:cs="Times New Roman"/>
          <w:sz w:val="32"/>
          <w:szCs w:val="32"/>
          <w:u w:val="single"/>
        </w:rPr>
        <w:t xml:space="preserve">                         </w:t>
      </w:r>
    </w:p>
    <w:p w14:paraId="2500ECF4">
      <w:pPr>
        <w:widowControl w:val="0"/>
        <w:spacing w:after="160" w:line="278" w:lineRule="auto"/>
        <w:ind w:firstLine="851" w:firstLineChars="265"/>
        <w:rPr>
          <w:rFonts w:hint="eastAsia" w:ascii="仿宋" w:hAnsi="仿宋" w:eastAsia="仿宋" w:cs="Times New Roman"/>
          <w:sz w:val="28"/>
          <w:szCs w:val="28"/>
        </w:rPr>
      </w:pPr>
      <w:r>
        <w:rPr>
          <w:rFonts w:hint="eastAsia" w:ascii="仿宋" w:hAnsi="仿宋" w:eastAsia="仿宋" w:cs="Times New Roman"/>
          <w:b/>
          <w:bCs/>
          <w:sz w:val="32"/>
          <w:szCs w:val="32"/>
        </w:rPr>
        <w:t>服务行业</w:t>
      </w:r>
      <w:r>
        <w:rPr>
          <w:rFonts w:hint="eastAsia" w:ascii="仿宋" w:hAnsi="仿宋" w:eastAsia="仿宋" w:cs="Times New Roman"/>
          <w:sz w:val="32"/>
          <w:szCs w:val="32"/>
        </w:rPr>
        <w:t>：</w:t>
      </w:r>
      <w:r>
        <w:rPr>
          <w:rFonts w:hint="eastAsia" w:ascii="仿宋" w:hAnsi="仿宋" w:eastAsia="仿宋" w:cs="Times New Roman"/>
          <w:sz w:val="28"/>
          <w:szCs w:val="28"/>
        </w:rPr>
        <w:t>□有色金属  □现代化工  □新材料</w:t>
      </w:r>
    </w:p>
    <w:p w14:paraId="2F8F250F">
      <w:pPr>
        <w:widowControl w:val="0"/>
        <w:spacing w:after="160" w:line="440" w:lineRule="exact"/>
        <w:ind w:firstLine="2408" w:firstLineChars="860"/>
        <w:rPr>
          <w:rFonts w:hint="eastAsia" w:ascii="仿宋" w:hAnsi="仿宋" w:eastAsia="仿宋" w:cs="Times New Roman"/>
          <w:sz w:val="28"/>
          <w:szCs w:val="28"/>
        </w:rPr>
      </w:pPr>
      <w:r>
        <w:rPr>
          <w:rFonts w:hint="eastAsia" w:ascii="仿宋" w:hAnsi="仿宋" w:eastAsia="仿宋" w:cs="Times New Roman"/>
          <w:sz w:val="28"/>
          <w:szCs w:val="28"/>
        </w:rPr>
        <w:t>□电力装备  □食品纺织</w:t>
      </w:r>
    </w:p>
    <w:p w14:paraId="218D70D1">
      <w:pPr>
        <w:widowControl w:val="0"/>
        <w:spacing w:after="160" w:line="278" w:lineRule="auto"/>
        <w:ind w:firstLine="851" w:firstLineChars="265"/>
        <w:rPr>
          <w:rFonts w:hint="eastAsia" w:ascii="仿宋" w:hAnsi="仿宋" w:eastAsia="仿宋" w:cs="Times New Roman"/>
          <w:b/>
          <w:bCs/>
          <w:sz w:val="32"/>
          <w:szCs w:val="32"/>
          <w:u w:val="single"/>
        </w:rPr>
      </w:pPr>
      <w:r>
        <w:rPr>
          <w:rFonts w:hint="eastAsia" w:ascii="仿宋" w:hAnsi="仿宋" w:eastAsia="仿宋" w:cs="Times New Roman"/>
          <w:b/>
          <w:bCs/>
          <w:sz w:val="32"/>
          <w:szCs w:val="32"/>
        </w:rPr>
        <w:t>联系人：</w:t>
      </w:r>
      <w:r>
        <w:rPr>
          <w:rFonts w:hint="eastAsia" w:ascii="仿宋" w:hAnsi="仿宋" w:eastAsia="仿宋" w:cs="Times New Roman"/>
          <w:b/>
          <w:bCs/>
          <w:sz w:val="32"/>
          <w:szCs w:val="32"/>
          <w:u w:val="single"/>
        </w:rPr>
        <w:t xml:space="preserve">                                  </w:t>
      </w:r>
    </w:p>
    <w:p w14:paraId="4A2DB686">
      <w:pPr>
        <w:widowControl w:val="0"/>
        <w:spacing w:after="160" w:line="278" w:lineRule="auto"/>
        <w:ind w:firstLine="851" w:firstLineChars="265"/>
        <w:rPr>
          <w:rFonts w:hint="eastAsia" w:ascii="仿宋" w:hAnsi="仿宋" w:eastAsia="仿宋" w:cs="Times New Roman"/>
          <w:b/>
          <w:bCs/>
          <w:sz w:val="32"/>
          <w:szCs w:val="32"/>
          <w:u w:val="single"/>
        </w:rPr>
      </w:pPr>
      <w:r>
        <w:rPr>
          <w:rFonts w:hint="eastAsia" w:ascii="仿宋" w:hAnsi="仿宋" w:eastAsia="仿宋" w:cs="Times New Roman"/>
          <w:b/>
          <w:bCs/>
          <w:sz w:val="32"/>
          <w:szCs w:val="32"/>
        </w:rPr>
        <w:t xml:space="preserve">联系电话： </w:t>
      </w:r>
      <w:r>
        <w:rPr>
          <w:rFonts w:hint="eastAsia" w:ascii="仿宋" w:hAnsi="仿宋" w:eastAsia="仿宋" w:cs="Times New Roman"/>
          <w:b/>
          <w:bCs/>
          <w:sz w:val="32"/>
          <w:szCs w:val="32"/>
          <w:u w:val="single"/>
        </w:rPr>
        <w:t xml:space="preserve">                               </w:t>
      </w:r>
    </w:p>
    <w:p w14:paraId="56C02026">
      <w:pPr>
        <w:widowControl w:val="0"/>
        <w:spacing w:after="160" w:line="440" w:lineRule="exact"/>
        <w:ind w:firstLine="0" w:firstLineChars="0"/>
        <w:rPr>
          <w:rFonts w:hint="eastAsia" w:ascii="仿宋" w:hAnsi="仿宋" w:eastAsia="仿宋" w:cs="Times New Roman"/>
          <w:sz w:val="28"/>
          <w:szCs w:val="28"/>
        </w:rPr>
      </w:pPr>
    </w:p>
    <w:p w14:paraId="239E3A1B">
      <w:pPr>
        <w:widowControl w:val="0"/>
        <w:spacing w:after="160" w:line="278" w:lineRule="auto"/>
        <w:ind w:firstLine="848" w:firstLineChars="265"/>
        <w:jc w:val="center"/>
        <w:rPr>
          <w:rFonts w:hint="eastAsia" w:ascii="仿宋" w:hAnsi="仿宋" w:eastAsia="仿宋" w:cs="Times New Roman"/>
          <w:sz w:val="32"/>
          <w:szCs w:val="32"/>
        </w:rPr>
      </w:pPr>
      <w:r>
        <w:rPr>
          <w:rFonts w:hint="eastAsia" w:ascii="仿宋" w:hAnsi="仿宋" w:eastAsia="仿宋" w:cs="Times New Roman"/>
          <w:sz w:val="32"/>
          <w:szCs w:val="32"/>
        </w:rPr>
        <w:t>年    月    日</w:t>
      </w:r>
    </w:p>
    <w:p w14:paraId="0827F1A8">
      <w:pPr>
        <w:ind w:firstLine="640"/>
        <w:rPr>
          <w:rFonts w:hint="eastAsia" w:ascii="仿宋_GB2312" w:hAnsi="仿宋" w:eastAsia="仿宋_GB2312" w:cs="Times New Roman"/>
          <w:sz w:val="32"/>
          <w:szCs w:val="32"/>
        </w:rPr>
      </w:pPr>
      <w:r>
        <w:rPr>
          <w:rFonts w:hint="eastAsia" w:ascii="仿宋_GB2312" w:hAnsi="仿宋" w:eastAsia="仿宋_GB2312" w:cs="Times New Roman"/>
          <w:sz w:val="32"/>
          <w:szCs w:val="32"/>
        </w:rPr>
        <w:br w:type="page"/>
      </w:r>
    </w:p>
    <w:p w14:paraId="7F6E7752">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一、申报单位基本情况</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182"/>
      </w:tblGrid>
      <w:tr w14:paraId="2318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4BE474F5">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企业（单位）名称</w:t>
            </w:r>
          </w:p>
        </w:tc>
        <w:tc>
          <w:tcPr>
            <w:tcW w:w="5182" w:type="dxa"/>
          </w:tcPr>
          <w:p w14:paraId="1667B1B3">
            <w:pPr>
              <w:widowControl w:val="0"/>
              <w:spacing w:line="336" w:lineRule="auto"/>
              <w:ind w:firstLine="0" w:firstLineChars="0"/>
              <w:rPr>
                <w:rFonts w:hint="eastAsia" w:ascii="仿宋_GB2312" w:hAnsi="仿宋" w:eastAsia="仿宋_GB2312" w:cs="Times New Roman"/>
                <w:sz w:val="24"/>
              </w:rPr>
            </w:pPr>
          </w:p>
        </w:tc>
      </w:tr>
      <w:tr w14:paraId="555E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0B5FA310">
            <w:pPr>
              <w:widowControl w:val="0"/>
              <w:spacing w:line="336" w:lineRule="auto"/>
              <w:ind w:firstLine="0" w:firstLineChars="0"/>
              <w:rPr>
                <w:rFonts w:hint="eastAsia" w:ascii="仿宋_GB2312" w:hAnsi="仿宋" w:eastAsia="仿宋_GB2312" w:cs="Times New Roman"/>
                <w:sz w:val="24"/>
                <w:lang w:eastAsia="zh-CN"/>
              </w:rPr>
            </w:pPr>
            <w:r>
              <w:rPr>
                <w:rFonts w:hint="eastAsia" w:ascii="仿宋_GB2312" w:hAnsi="仿宋" w:eastAsia="仿宋_GB2312" w:cs="Times New Roman"/>
                <w:sz w:val="24"/>
                <w:lang w:eastAsia="zh-CN"/>
              </w:rPr>
              <w:t>统一社会信用代码</w:t>
            </w:r>
          </w:p>
        </w:tc>
        <w:tc>
          <w:tcPr>
            <w:tcW w:w="5182" w:type="dxa"/>
          </w:tcPr>
          <w:p w14:paraId="6EFF5B4D">
            <w:pPr>
              <w:widowControl w:val="0"/>
              <w:spacing w:line="336" w:lineRule="auto"/>
              <w:ind w:firstLine="0" w:firstLineChars="0"/>
              <w:rPr>
                <w:rFonts w:hint="eastAsia" w:ascii="仿宋_GB2312" w:hAnsi="仿宋" w:eastAsia="仿宋_GB2312" w:cs="Times New Roman"/>
                <w:sz w:val="24"/>
              </w:rPr>
            </w:pPr>
          </w:p>
        </w:tc>
      </w:tr>
      <w:tr w14:paraId="52F4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263606FB">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法人代表</w:t>
            </w:r>
          </w:p>
        </w:tc>
        <w:tc>
          <w:tcPr>
            <w:tcW w:w="5182" w:type="dxa"/>
          </w:tcPr>
          <w:p w14:paraId="01B68ABA">
            <w:pPr>
              <w:widowControl w:val="0"/>
              <w:spacing w:line="336" w:lineRule="auto"/>
              <w:ind w:firstLine="0" w:firstLineChars="0"/>
              <w:rPr>
                <w:rFonts w:hint="eastAsia" w:ascii="仿宋_GB2312" w:hAnsi="仿宋" w:eastAsia="仿宋_GB2312" w:cs="Times New Roman"/>
                <w:sz w:val="24"/>
              </w:rPr>
            </w:pPr>
          </w:p>
        </w:tc>
      </w:tr>
      <w:tr w14:paraId="2381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11005CF8">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注册地址</w:t>
            </w:r>
          </w:p>
        </w:tc>
        <w:tc>
          <w:tcPr>
            <w:tcW w:w="5182" w:type="dxa"/>
          </w:tcPr>
          <w:p w14:paraId="55FB448C">
            <w:pPr>
              <w:widowControl w:val="0"/>
              <w:spacing w:line="336" w:lineRule="auto"/>
              <w:ind w:firstLine="0" w:firstLineChars="0"/>
              <w:rPr>
                <w:rFonts w:hint="eastAsia" w:ascii="仿宋_GB2312" w:hAnsi="仿宋" w:eastAsia="仿宋_GB2312" w:cs="Times New Roman"/>
                <w:sz w:val="24"/>
              </w:rPr>
            </w:pPr>
          </w:p>
        </w:tc>
      </w:tr>
      <w:tr w14:paraId="5C3C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3EF263D5">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联系人</w:t>
            </w:r>
          </w:p>
        </w:tc>
        <w:tc>
          <w:tcPr>
            <w:tcW w:w="5182" w:type="dxa"/>
          </w:tcPr>
          <w:p w14:paraId="73ECBDDD">
            <w:pPr>
              <w:widowControl w:val="0"/>
              <w:spacing w:line="336" w:lineRule="auto"/>
              <w:ind w:firstLine="0" w:firstLineChars="0"/>
              <w:rPr>
                <w:rFonts w:hint="eastAsia" w:ascii="仿宋_GB2312" w:hAnsi="仿宋" w:eastAsia="仿宋_GB2312" w:cs="Times New Roman"/>
                <w:sz w:val="24"/>
              </w:rPr>
            </w:pPr>
          </w:p>
        </w:tc>
      </w:tr>
      <w:tr w14:paraId="7927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217EC670">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联系电话</w:t>
            </w:r>
          </w:p>
        </w:tc>
        <w:tc>
          <w:tcPr>
            <w:tcW w:w="5182" w:type="dxa"/>
          </w:tcPr>
          <w:p w14:paraId="178F8D28">
            <w:pPr>
              <w:widowControl w:val="0"/>
              <w:spacing w:line="336" w:lineRule="auto"/>
              <w:ind w:firstLine="0" w:firstLineChars="0"/>
              <w:rPr>
                <w:rFonts w:hint="eastAsia" w:ascii="仿宋_GB2312" w:hAnsi="仿宋" w:eastAsia="仿宋_GB2312" w:cs="Times New Roman"/>
                <w:sz w:val="24"/>
              </w:rPr>
            </w:pPr>
          </w:p>
        </w:tc>
      </w:tr>
      <w:tr w14:paraId="71C9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14:paraId="689914CA">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服务商类型</w:t>
            </w:r>
          </w:p>
        </w:tc>
        <w:tc>
          <w:tcPr>
            <w:tcW w:w="5182" w:type="dxa"/>
          </w:tcPr>
          <w:p w14:paraId="53BF6D1D">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□总承包服务商  □专业服务商</w:t>
            </w:r>
          </w:p>
        </w:tc>
      </w:tr>
      <w:tr w14:paraId="068B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restart"/>
            <w:vAlign w:val="center"/>
          </w:tcPr>
          <w:p w14:paraId="64302332">
            <w:pPr>
              <w:widowControl w:val="0"/>
              <w:spacing w:line="336" w:lineRule="auto"/>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“小快轻准”数字化转型产品和解决方案情况</w:t>
            </w:r>
          </w:p>
          <w:p w14:paraId="25C30E8E">
            <w:pPr>
              <w:widowControl w:val="0"/>
              <w:spacing w:line="336" w:lineRule="auto"/>
              <w:ind w:firstLine="0" w:firstLineChars="0"/>
              <w:jc w:val="both"/>
              <w:rPr>
                <w:rFonts w:hint="eastAsia" w:ascii="仿宋_GB2312" w:hAnsi="仿宋" w:eastAsia="仿宋_GB2312" w:cs="Times New Roman"/>
                <w:szCs w:val="22"/>
              </w:rPr>
            </w:pPr>
            <w:r>
              <w:rPr>
                <w:rFonts w:hint="eastAsia" w:ascii="仿宋_GB2312" w:hAnsi="仿宋" w:eastAsia="仿宋_GB2312" w:cs="Times New Roman"/>
                <w:szCs w:val="22"/>
              </w:rPr>
              <w:t>注：1.最多不超过3个；</w:t>
            </w:r>
          </w:p>
          <w:p w14:paraId="47122BD0">
            <w:pPr>
              <w:widowControl w:val="0"/>
              <w:spacing w:line="336" w:lineRule="auto"/>
              <w:ind w:firstLine="440"/>
              <w:jc w:val="both"/>
              <w:rPr>
                <w:rFonts w:hint="eastAsia" w:ascii="仿宋_GB2312" w:hAnsi="仿宋" w:eastAsia="仿宋_GB2312" w:cs="Times New Roman"/>
                <w:szCs w:val="22"/>
              </w:rPr>
            </w:pPr>
            <w:r>
              <w:rPr>
                <w:rFonts w:hint="eastAsia" w:ascii="仿宋_GB2312" w:hAnsi="仿宋" w:eastAsia="仿宋_GB2312" w:cs="Times New Roman"/>
                <w:szCs w:val="22"/>
              </w:rPr>
              <w:t>2.产品简介不少过100字；</w:t>
            </w:r>
          </w:p>
          <w:p w14:paraId="1F279651">
            <w:pPr>
              <w:widowControl w:val="0"/>
              <w:spacing w:line="336" w:lineRule="auto"/>
              <w:ind w:firstLine="0" w:firstLineChars="0"/>
              <w:jc w:val="both"/>
              <w:rPr>
                <w:rFonts w:hint="eastAsia" w:ascii="仿宋_GB2312" w:hAnsi="仿宋" w:eastAsia="仿宋_GB2312" w:cs="Times New Roman"/>
                <w:szCs w:val="22"/>
              </w:rPr>
            </w:pPr>
            <w:r>
              <w:rPr>
                <w:rFonts w:hint="eastAsia" w:ascii="仿宋_GB2312" w:hAnsi="仿宋" w:eastAsia="仿宋_GB2312" w:cs="Times New Roman"/>
                <w:szCs w:val="22"/>
              </w:rPr>
              <w:t xml:space="preserve">    3.已经应用企业是指已经应用该产品并完成验收评测的昌吉州试点企业；</w:t>
            </w:r>
          </w:p>
          <w:p w14:paraId="4CBE6D67">
            <w:pPr>
              <w:widowControl w:val="0"/>
              <w:spacing w:line="336" w:lineRule="auto"/>
              <w:ind w:firstLine="440"/>
              <w:jc w:val="both"/>
              <w:rPr>
                <w:rFonts w:hint="eastAsia" w:ascii="仿宋_GB2312" w:hAnsi="仿宋" w:eastAsia="仿宋_GB2312" w:cs="Times New Roman"/>
                <w:sz w:val="24"/>
              </w:rPr>
            </w:pPr>
            <w:r>
              <w:rPr>
                <w:rFonts w:hint="eastAsia" w:ascii="仿宋_GB2312" w:hAnsi="仿宋" w:eastAsia="仿宋_GB2312" w:cs="Times New Roman"/>
                <w:szCs w:val="22"/>
              </w:rPr>
              <w:t>4.应用场景是指《中小企业数字化水平评测指标（2024 年版）》中的16个二级场景。</w:t>
            </w:r>
          </w:p>
        </w:tc>
        <w:tc>
          <w:tcPr>
            <w:tcW w:w="5182" w:type="dxa"/>
          </w:tcPr>
          <w:p w14:paraId="4077E94D">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名称：</w:t>
            </w:r>
          </w:p>
          <w:p w14:paraId="533E037E">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简介：</w:t>
            </w:r>
          </w:p>
          <w:p w14:paraId="0D18CE6B">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已经应用的试点企业数量：</w:t>
            </w:r>
          </w:p>
          <w:p w14:paraId="0BB3A9F4">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覆盖的应用场景数量：</w:t>
            </w:r>
          </w:p>
        </w:tc>
      </w:tr>
      <w:tr w14:paraId="039E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vAlign w:val="center"/>
          </w:tcPr>
          <w:p w14:paraId="36E97550">
            <w:pPr>
              <w:widowControl w:val="0"/>
              <w:spacing w:line="336" w:lineRule="auto"/>
              <w:ind w:firstLine="0" w:firstLineChars="0"/>
              <w:jc w:val="both"/>
              <w:rPr>
                <w:rFonts w:hint="eastAsia" w:ascii="仿宋_GB2312" w:hAnsi="仿宋" w:eastAsia="仿宋_GB2312" w:cs="Times New Roman"/>
                <w:sz w:val="24"/>
              </w:rPr>
            </w:pPr>
          </w:p>
        </w:tc>
        <w:tc>
          <w:tcPr>
            <w:tcW w:w="5182" w:type="dxa"/>
          </w:tcPr>
          <w:p w14:paraId="35464F36">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名称：</w:t>
            </w:r>
          </w:p>
          <w:p w14:paraId="65599997">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简介：</w:t>
            </w:r>
          </w:p>
          <w:p w14:paraId="396620EE">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已经应用的试点企业数量：</w:t>
            </w:r>
          </w:p>
          <w:p w14:paraId="1E0A1398">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覆盖的应用场景数量：</w:t>
            </w:r>
          </w:p>
        </w:tc>
      </w:tr>
      <w:tr w14:paraId="0FD5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vAlign w:val="center"/>
          </w:tcPr>
          <w:p w14:paraId="6FB4A8B6">
            <w:pPr>
              <w:widowControl w:val="0"/>
              <w:spacing w:line="336" w:lineRule="auto"/>
              <w:ind w:firstLine="0" w:firstLineChars="0"/>
              <w:jc w:val="both"/>
              <w:rPr>
                <w:rFonts w:hint="eastAsia" w:ascii="仿宋_GB2312" w:hAnsi="仿宋" w:eastAsia="仿宋_GB2312" w:cs="Times New Roman"/>
                <w:sz w:val="24"/>
              </w:rPr>
            </w:pPr>
          </w:p>
        </w:tc>
        <w:tc>
          <w:tcPr>
            <w:tcW w:w="5182" w:type="dxa"/>
          </w:tcPr>
          <w:p w14:paraId="00B93BE4">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名称：</w:t>
            </w:r>
          </w:p>
          <w:p w14:paraId="5D3B5159">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简介：</w:t>
            </w:r>
          </w:p>
          <w:p w14:paraId="47ACB406">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已经应用的试点企业数量：</w:t>
            </w:r>
          </w:p>
          <w:p w14:paraId="478336AD">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覆盖的应用场景数量：</w:t>
            </w:r>
          </w:p>
        </w:tc>
      </w:tr>
      <w:tr w14:paraId="018E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3114" w:type="dxa"/>
            <w:vAlign w:val="center"/>
          </w:tcPr>
          <w:p w14:paraId="089B8494">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企业简介</w:t>
            </w:r>
          </w:p>
          <w:p w14:paraId="5139DA30">
            <w:pPr>
              <w:widowControl w:val="0"/>
              <w:spacing w:line="336" w:lineRule="auto"/>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（300字以内）</w:t>
            </w:r>
          </w:p>
        </w:tc>
        <w:tc>
          <w:tcPr>
            <w:tcW w:w="5182" w:type="dxa"/>
          </w:tcPr>
          <w:p w14:paraId="337434A9">
            <w:pPr>
              <w:widowControl w:val="0"/>
              <w:spacing w:line="336" w:lineRule="auto"/>
              <w:ind w:firstLine="0" w:firstLineChars="0"/>
              <w:rPr>
                <w:rFonts w:hint="eastAsia" w:ascii="仿宋_GB2312" w:hAnsi="仿宋" w:eastAsia="仿宋_GB2312" w:cs="Times New Roman"/>
                <w:sz w:val="24"/>
              </w:rPr>
            </w:pPr>
          </w:p>
          <w:p w14:paraId="0C150D57">
            <w:pPr>
              <w:widowControl w:val="0"/>
              <w:spacing w:line="336" w:lineRule="auto"/>
              <w:ind w:firstLine="0" w:firstLineChars="0"/>
              <w:rPr>
                <w:rFonts w:hint="eastAsia" w:ascii="仿宋_GB2312" w:hAnsi="仿宋" w:eastAsia="仿宋_GB2312" w:cs="Times New Roman"/>
                <w:sz w:val="24"/>
              </w:rPr>
            </w:pPr>
          </w:p>
          <w:p w14:paraId="1EAD8332">
            <w:pPr>
              <w:widowControl w:val="0"/>
              <w:spacing w:line="336" w:lineRule="auto"/>
              <w:ind w:firstLine="0" w:firstLineChars="0"/>
              <w:rPr>
                <w:rFonts w:hint="eastAsia" w:ascii="仿宋_GB2312" w:hAnsi="仿宋" w:eastAsia="仿宋_GB2312" w:cs="Times New Roman"/>
                <w:sz w:val="24"/>
              </w:rPr>
            </w:pPr>
          </w:p>
        </w:tc>
      </w:tr>
      <w:tr w14:paraId="4AB2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8296" w:type="dxa"/>
            <w:gridSpan w:val="2"/>
          </w:tcPr>
          <w:p w14:paraId="6101273A">
            <w:pPr>
              <w:widowControl w:val="0"/>
              <w:spacing w:line="336" w:lineRule="auto"/>
              <w:ind w:firstLine="600" w:firstLineChars="250"/>
              <w:rPr>
                <w:rFonts w:hint="eastAsia" w:ascii="仿宋_GB2312" w:hAnsi="仿宋" w:eastAsia="仿宋_GB2312" w:cs="Times New Roman"/>
                <w:sz w:val="24"/>
              </w:rPr>
            </w:pPr>
          </w:p>
          <w:p w14:paraId="044AC580">
            <w:pPr>
              <w:widowControl w:val="0"/>
              <w:spacing w:line="336"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已经详细了解昌吉州优秀“小快轻准”数字化转型产品和解决方案申报相关要求，承诺本次申报所提供的相关信息真实有效。</w:t>
            </w:r>
          </w:p>
          <w:p w14:paraId="43876DE1">
            <w:pPr>
              <w:widowControl w:val="0"/>
              <w:spacing w:line="336" w:lineRule="auto"/>
              <w:ind w:firstLine="600" w:firstLineChars="250"/>
              <w:rPr>
                <w:rFonts w:hint="eastAsia" w:ascii="仿宋_GB2312" w:hAnsi="仿宋" w:eastAsia="仿宋_GB2312" w:cs="Times New Roman"/>
                <w:sz w:val="24"/>
              </w:rPr>
            </w:pPr>
          </w:p>
          <w:p w14:paraId="3D8F3B49">
            <w:pPr>
              <w:widowControl w:val="0"/>
              <w:spacing w:line="336"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企业（单位）：               （盖章）</w:t>
            </w:r>
          </w:p>
          <w:p w14:paraId="3AE24499">
            <w:pPr>
              <w:widowControl w:val="0"/>
              <w:spacing w:line="336"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法定代表人：</w:t>
            </w:r>
          </w:p>
          <w:p w14:paraId="156E7CB3">
            <w:pPr>
              <w:widowControl w:val="0"/>
              <w:spacing w:line="336" w:lineRule="auto"/>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年    月   日</w:t>
            </w:r>
          </w:p>
        </w:tc>
      </w:tr>
    </w:tbl>
    <w:p w14:paraId="3EF338D0">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二、“小快轻准”产品和解决方案应用成效情况</w:t>
      </w:r>
    </w:p>
    <w:p w14:paraId="13D75829">
      <w:pPr>
        <w:widowControl w:val="0"/>
        <w:spacing w:after="160" w:line="278" w:lineRule="auto"/>
        <w:ind w:firstLine="640"/>
        <w:rPr>
          <w:rFonts w:hint="eastAsia" w:ascii="楷体_GB2312" w:hAnsi="黑体" w:eastAsia="楷体_GB2312" w:cs="Times New Roman"/>
          <w:sz w:val="32"/>
          <w:szCs w:val="32"/>
        </w:rPr>
      </w:pPr>
      <w:r>
        <w:rPr>
          <w:rFonts w:hint="eastAsia" w:ascii="楷体_GB2312" w:hAnsi="黑体" w:eastAsia="楷体_GB2312" w:cs="Times New Roman"/>
          <w:sz w:val="32"/>
          <w:szCs w:val="32"/>
        </w:rPr>
        <w:t>（一）XXX（产品和解决方案名称）</w:t>
      </w:r>
    </w:p>
    <w:p w14:paraId="475DD324">
      <w:pPr>
        <w:widowControl w:val="0"/>
        <w:spacing w:after="160" w:line="279" w:lineRule="auto"/>
        <w:ind w:firstLine="643"/>
        <w:rPr>
          <w:rFonts w:hint="eastAsia" w:ascii="仿宋_GB2312" w:hAnsi="黑体" w:eastAsia="仿宋_GB2312" w:cs="Times New Roman"/>
          <w:b/>
          <w:bCs/>
          <w:sz w:val="32"/>
          <w:szCs w:val="32"/>
        </w:rPr>
      </w:pPr>
      <w:r>
        <w:rPr>
          <w:rFonts w:hint="eastAsia" w:ascii="仿宋_GB2312" w:hAnsi="黑体" w:eastAsia="仿宋_GB2312" w:cs="Times New Roman"/>
          <w:b/>
          <w:bCs/>
          <w:sz w:val="32"/>
          <w:szCs w:val="32"/>
        </w:rPr>
        <w:t>1.基本情况</w:t>
      </w:r>
    </w:p>
    <w:p w14:paraId="7579F965">
      <w:pPr>
        <w:widowControl w:val="0"/>
        <w:spacing w:after="160" w:line="279" w:lineRule="auto"/>
        <w:ind w:firstLine="480"/>
        <w:rPr>
          <w:rFonts w:hint="eastAsia" w:ascii="仿宋_GB2312" w:hAnsi="仿宋" w:eastAsia="仿宋_GB2312" w:cs="Times New Roman"/>
          <w:sz w:val="24"/>
        </w:rPr>
      </w:pPr>
      <w:r>
        <w:rPr>
          <w:rFonts w:hint="eastAsia" w:ascii="仿宋_GB2312" w:hAnsi="仿宋" w:eastAsia="仿宋_GB2312" w:cs="Times New Roman"/>
          <w:sz w:val="24"/>
        </w:rPr>
        <w:t>注：围绕产品基本功能，适用的行业、企业规模、典型应用场景等情况进行简要介绍。</w:t>
      </w:r>
    </w:p>
    <w:p w14:paraId="6361986B">
      <w:pPr>
        <w:widowControl w:val="0"/>
        <w:spacing w:after="160" w:line="279" w:lineRule="auto"/>
        <w:ind w:firstLine="643"/>
        <w:rPr>
          <w:rFonts w:hint="eastAsia" w:ascii="仿宋_GB2312" w:hAnsi="黑体" w:eastAsia="仿宋_GB2312" w:cs="Times New Roman"/>
          <w:b/>
          <w:bCs/>
          <w:sz w:val="32"/>
          <w:szCs w:val="32"/>
        </w:rPr>
      </w:pPr>
      <w:r>
        <w:rPr>
          <w:rFonts w:hint="eastAsia" w:ascii="仿宋_GB2312" w:hAnsi="黑体" w:eastAsia="仿宋_GB2312" w:cs="Times New Roman"/>
          <w:b/>
          <w:bCs/>
          <w:sz w:val="32"/>
          <w:szCs w:val="32"/>
        </w:rPr>
        <w:t>2.技术方案</w:t>
      </w:r>
    </w:p>
    <w:p w14:paraId="32211D1C">
      <w:pPr>
        <w:widowControl w:val="0"/>
        <w:spacing w:after="160" w:line="279" w:lineRule="auto"/>
        <w:ind w:firstLine="480"/>
        <w:rPr>
          <w:rFonts w:hint="eastAsia" w:ascii="仿宋_GB2312" w:hAnsi="仿宋" w:eastAsia="仿宋_GB2312" w:cs="Times New Roman"/>
          <w:sz w:val="24"/>
        </w:rPr>
      </w:pPr>
      <w:r>
        <w:rPr>
          <w:rFonts w:hint="eastAsia" w:ascii="仿宋_GB2312" w:hAnsi="仿宋" w:eastAsia="仿宋_GB2312" w:cs="Times New Roman"/>
          <w:sz w:val="24"/>
        </w:rPr>
        <w:t>注：围绕产品总体技术方案、典型应用场景、工程实施难度（部署方式及周期、操作及运维难度等）、细分行业适配情况（具有行业模板库、行业机理模型的丰富程度及柔性配置情况）等方面进行介绍。</w:t>
      </w:r>
    </w:p>
    <w:p w14:paraId="3B6685A7">
      <w:pPr>
        <w:widowControl w:val="0"/>
        <w:spacing w:after="160" w:line="279" w:lineRule="auto"/>
        <w:ind w:firstLine="643"/>
        <w:rPr>
          <w:rFonts w:hint="eastAsia" w:ascii="仿宋_GB2312" w:hAnsi="黑体" w:eastAsia="仿宋_GB2312" w:cs="Times New Roman"/>
          <w:b/>
          <w:bCs/>
          <w:sz w:val="32"/>
          <w:szCs w:val="32"/>
        </w:rPr>
      </w:pPr>
      <w:r>
        <w:rPr>
          <w:rFonts w:hint="eastAsia" w:ascii="仿宋_GB2312" w:hAnsi="黑体" w:eastAsia="仿宋_GB2312" w:cs="Times New Roman"/>
          <w:b/>
          <w:bCs/>
          <w:sz w:val="32"/>
          <w:szCs w:val="32"/>
        </w:rPr>
        <w:t>3.服务方案</w:t>
      </w:r>
    </w:p>
    <w:p w14:paraId="67222045">
      <w:pPr>
        <w:widowControl w:val="0"/>
        <w:spacing w:after="160" w:line="279" w:lineRule="auto"/>
        <w:ind w:firstLine="480"/>
        <w:rPr>
          <w:rFonts w:hint="eastAsia" w:ascii="仿宋_GB2312" w:hAnsi="仿宋" w:eastAsia="仿宋_GB2312" w:cs="Times New Roman"/>
          <w:sz w:val="24"/>
        </w:rPr>
      </w:pPr>
      <w:r>
        <w:rPr>
          <w:rFonts w:hint="eastAsia" w:ascii="仿宋_GB2312" w:hAnsi="仿宋" w:eastAsia="仿宋_GB2312" w:cs="Times New Roman"/>
          <w:sz w:val="24"/>
        </w:rPr>
        <w:t>注：围绕为用户提供免费培训、售后服务、</w:t>
      </w:r>
      <w:r>
        <w:rPr>
          <w:rFonts w:hint="eastAsia" w:ascii="仿宋_GB2312" w:eastAsia="仿宋_GB2312"/>
          <w:color w:val="000000"/>
          <w:sz w:val="24"/>
        </w:rPr>
        <w:t>用户社区</w:t>
      </w:r>
      <w:r>
        <w:rPr>
          <w:rFonts w:hint="eastAsia" w:ascii="仿宋_GB2312" w:hAnsi="仿宋" w:eastAsia="仿宋_GB2312" w:cs="Times New Roman"/>
          <w:sz w:val="24"/>
        </w:rPr>
        <w:t>的情况等方面进行介绍。</w:t>
      </w:r>
    </w:p>
    <w:p w14:paraId="233CF7A5">
      <w:pPr>
        <w:widowControl w:val="0"/>
        <w:spacing w:after="160" w:line="279" w:lineRule="auto"/>
        <w:ind w:firstLine="643"/>
        <w:rPr>
          <w:rFonts w:hint="eastAsia" w:ascii="仿宋_GB2312" w:hAnsi="黑体" w:eastAsia="仿宋_GB2312" w:cs="Times New Roman"/>
          <w:b/>
          <w:bCs/>
          <w:sz w:val="32"/>
          <w:szCs w:val="32"/>
        </w:rPr>
      </w:pPr>
      <w:r>
        <w:rPr>
          <w:rFonts w:hint="eastAsia" w:ascii="仿宋_GB2312" w:hAnsi="黑体" w:eastAsia="仿宋_GB2312" w:cs="Times New Roman"/>
          <w:b/>
          <w:bCs/>
          <w:sz w:val="32"/>
          <w:szCs w:val="32"/>
        </w:rPr>
        <w:t>4.安全保障措施</w:t>
      </w:r>
    </w:p>
    <w:p w14:paraId="74F54317">
      <w:pPr>
        <w:widowControl w:val="0"/>
        <w:spacing w:after="160" w:line="279" w:lineRule="auto"/>
        <w:ind w:firstLine="480"/>
        <w:rPr>
          <w:rFonts w:hint="eastAsia" w:ascii="仿宋_GB2312" w:hAnsi="仿宋" w:eastAsia="仿宋_GB2312" w:cs="Times New Roman"/>
          <w:sz w:val="24"/>
        </w:rPr>
      </w:pPr>
      <w:r>
        <w:rPr>
          <w:rFonts w:hint="eastAsia" w:ascii="仿宋_GB2312" w:hAnsi="仿宋" w:eastAsia="仿宋_GB2312" w:cs="Times New Roman"/>
          <w:sz w:val="24"/>
        </w:rPr>
        <w:t>注：围绕保障网络安全、信息安全、数据安全的措施、保障系统长期稳定可用的措施等方面进行介绍。</w:t>
      </w:r>
    </w:p>
    <w:p w14:paraId="001BB482">
      <w:pPr>
        <w:widowControl w:val="0"/>
        <w:spacing w:after="160" w:line="279" w:lineRule="auto"/>
        <w:ind w:firstLine="643"/>
        <w:rPr>
          <w:rFonts w:hint="eastAsia" w:ascii="仿宋_GB2312" w:hAnsi="黑体" w:eastAsia="仿宋_GB2312" w:cs="Times New Roman"/>
          <w:b/>
          <w:bCs/>
          <w:sz w:val="32"/>
          <w:szCs w:val="32"/>
        </w:rPr>
      </w:pPr>
      <w:r>
        <w:rPr>
          <w:rFonts w:hint="eastAsia" w:ascii="仿宋_GB2312" w:hAnsi="黑体" w:eastAsia="仿宋_GB2312" w:cs="Times New Roman"/>
          <w:b/>
          <w:bCs/>
          <w:sz w:val="32"/>
          <w:szCs w:val="32"/>
        </w:rPr>
        <w:t>5.融合开放情况</w:t>
      </w:r>
    </w:p>
    <w:p w14:paraId="41E8891D">
      <w:pPr>
        <w:widowControl w:val="0"/>
        <w:spacing w:after="160" w:line="279" w:lineRule="auto"/>
        <w:ind w:firstLine="480"/>
        <w:rPr>
          <w:rFonts w:hint="eastAsia" w:ascii="仿宋_GB2312" w:hAnsi="仿宋" w:eastAsia="仿宋_GB2312" w:cs="Times New Roman"/>
          <w:sz w:val="24"/>
        </w:rPr>
      </w:pPr>
      <w:r>
        <w:rPr>
          <w:rFonts w:hint="eastAsia" w:ascii="仿宋_GB2312" w:hAnsi="仿宋" w:eastAsia="仿宋_GB2312" w:cs="Times New Roman"/>
          <w:sz w:val="24"/>
        </w:rPr>
        <w:t>注：围绕兼容生态伙伴产品、支持系统及数据跨平台迁移的情况进行介绍。</w:t>
      </w:r>
    </w:p>
    <w:p w14:paraId="10E0E59F">
      <w:pPr>
        <w:widowControl w:val="0"/>
        <w:spacing w:after="160" w:line="279" w:lineRule="auto"/>
        <w:ind w:firstLine="643"/>
        <w:rPr>
          <w:rFonts w:hint="eastAsia" w:ascii="仿宋_GB2312" w:hAnsi="黑体" w:eastAsia="仿宋_GB2312" w:cs="Times New Roman"/>
          <w:b/>
          <w:bCs/>
          <w:sz w:val="32"/>
          <w:szCs w:val="32"/>
        </w:rPr>
      </w:pPr>
      <w:r>
        <w:rPr>
          <w:rFonts w:hint="eastAsia" w:ascii="仿宋_GB2312" w:hAnsi="黑体" w:eastAsia="仿宋_GB2312" w:cs="Times New Roman"/>
          <w:b/>
          <w:bCs/>
          <w:sz w:val="32"/>
          <w:szCs w:val="32"/>
        </w:rPr>
        <w:t>6.昌吉州试点应用情况</w:t>
      </w:r>
    </w:p>
    <w:tbl>
      <w:tblPr>
        <w:tblStyle w:val="16"/>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906"/>
        <w:gridCol w:w="1388"/>
        <w:gridCol w:w="1194"/>
        <w:gridCol w:w="1183"/>
        <w:gridCol w:w="1570"/>
      </w:tblGrid>
      <w:tr w14:paraId="40F8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center"/>
          </w:tcPr>
          <w:p w14:paraId="1ED5BC96">
            <w:pPr>
              <w:adjustRightInd w:val="0"/>
              <w:snapToGrid w:val="0"/>
              <w:spacing w:line="300" w:lineRule="exact"/>
              <w:ind w:firstLine="0" w:firstLineChars="0"/>
              <w:jc w:val="center"/>
              <w:rPr>
                <w:rFonts w:hint="eastAsia" w:ascii="仿宋_GB2312" w:eastAsia="仿宋_GB2312"/>
                <w:b/>
                <w:bCs/>
                <w:szCs w:val="22"/>
              </w:rPr>
            </w:pPr>
            <w:r>
              <w:rPr>
                <w:rFonts w:hint="eastAsia" w:ascii="仿宋_GB2312" w:eastAsia="仿宋_GB2312"/>
                <w:b/>
                <w:bCs/>
                <w:szCs w:val="22"/>
              </w:rPr>
              <w:t>序号</w:t>
            </w:r>
          </w:p>
        </w:tc>
        <w:tc>
          <w:tcPr>
            <w:tcW w:w="1906" w:type="dxa"/>
            <w:vAlign w:val="center"/>
          </w:tcPr>
          <w:p w14:paraId="08B08656">
            <w:pPr>
              <w:adjustRightInd w:val="0"/>
              <w:snapToGrid w:val="0"/>
              <w:spacing w:line="300" w:lineRule="exact"/>
              <w:ind w:firstLine="0" w:firstLineChars="0"/>
              <w:jc w:val="center"/>
              <w:rPr>
                <w:rFonts w:hint="eastAsia" w:ascii="仿宋_GB2312" w:eastAsia="仿宋_GB2312"/>
                <w:b/>
                <w:bCs/>
                <w:szCs w:val="22"/>
              </w:rPr>
            </w:pPr>
            <w:r>
              <w:rPr>
                <w:rFonts w:hint="eastAsia" w:ascii="仿宋_GB2312" w:eastAsia="仿宋_GB2312"/>
                <w:b/>
                <w:bCs/>
                <w:szCs w:val="22"/>
              </w:rPr>
              <w:t>企业名称</w:t>
            </w:r>
          </w:p>
        </w:tc>
        <w:tc>
          <w:tcPr>
            <w:tcW w:w="1388" w:type="dxa"/>
            <w:vAlign w:val="center"/>
          </w:tcPr>
          <w:p w14:paraId="771E3B6C">
            <w:pPr>
              <w:adjustRightInd w:val="0"/>
              <w:snapToGrid w:val="0"/>
              <w:spacing w:line="300" w:lineRule="exact"/>
              <w:ind w:firstLine="0" w:firstLineChars="0"/>
              <w:jc w:val="center"/>
              <w:rPr>
                <w:rFonts w:hint="eastAsia" w:ascii="仿宋_GB2312" w:eastAsia="仿宋_GB2312"/>
                <w:b/>
                <w:bCs/>
                <w:szCs w:val="22"/>
              </w:rPr>
            </w:pPr>
            <w:r>
              <w:rPr>
                <w:rFonts w:hint="eastAsia" w:ascii="仿宋_GB2312" w:eastAsia="仿宋_GB2312"/>
                <w:b/>
                <w:bCs/>
                <w:szCs w:val="22"/>
              </w:rPr>
              <w:t>产品单价（万元）</w:t>
            </w:r>
          </w:p>
        </w:tc>
        <w:tc>
          <w:tcPr>
            <w:tcW w:w="1194" w:type="dxa"/>
            <w:vAlign w:val="center"/>
          </w:tcPr>
          <w:p w14:paraId="5DDAA88D">
            <w:pPr>
              <w:adjustRightInd w:val="0"/>
              <w:snapToGrid w:val="0"/>
              <w:spacing w:line="300" w:lineRule="exact"/>
              <w:ind w:firstLine="0" w:firstLineChars="0"/>
              <w:jc w:val="center"/>
              <w:rPr>
                <w:rFonts w:hint="eastAsia" w:ascii="仿宋_GB2312" w:eastAsia="仿宋_GB2312"/>
                <w:b/>
                <w:bCs/>
                <w:szCs w:val="22"/>
              </w:rPr>
            </w:pPr>
            <w:r>
              <w:rPr>
                <w:rFonts w:hint="eastAsia" w:ascii="仿宋_GB2312" w:eastAsia="仿宋_GB2312"/>
                <w:b/>
                <w:bCs/>
                <w:szCs w:val="22"/>
              </w:rPr>
              <w:t>是否已完成改造</w:t>
            </w:r>
          </w:p>
        </w:tc>
        <w:tc>
          <w:tcPr>
            <w:tcW w:w="1183" w:type="dxa"/>
            <w:vAlign w:val="center"/>
          </w:tcPr>
          <w:p w14:paraId="28810F0D">
            <w:pPr>
              <w:adjustRightInd w:val="0"/>
              <w:snapToGrid w:val="0"/>
              <w:spacing w:line="300" w:lineRule="exact"/>
              <w:ind w:firstLine="0" w:firstLineChars="0"/>
              <w:jc w:val="center"/>
              <w:rPr>
                <w:rFonts w:hint="eastAsia" w:ascii="仿宋_GB2312" w:eastAsia="仿宋_GB2312"/>
                <w:b/>
                <w:bCs/>
                <w:szCs w:val="22"/>
              </w:rPr>
            </w:pPr>
            <w:r>
              <w:rPr>
                <w:rFonts w:hint="eastAsia" w:ascii="仿宋_GB2312" w:eastAsia="仿宋_GB2312"/>
                <w:b/>
                <w:bCs/>
                <w:szCs w:val="22"/>
              </w:rPr>
              <w:t>数字化水平等级</w:t>
            </w:r>
          </w:p>
        </w:tc>
        <w:tc>
          <w:tcPr>
            <w:tcW w:w="1570" w:type="dxa"/>
            <w:vAlign w:val="center"/>
          </w:tcPr>
          <w:p w14:paraId="7A2B39CA">
            <w:pPr>
              <w:adjustRightInd w:val="0"/>
              <w:snapToGrid w:val="0"/>
              <w:spacing w:line="300" w:lineRule="exact"/>
              <w:ind w:firstLine="0" w:firstLineChars="0"/>
              <w:jc w:val="center"/>
              <w:rPr>
                <w:rFonts w:hint="eastAsia" w:ascii="仿宋_GB2312" w:eastAsia="仿宋_GB2312"/>
                <w:b/>
                <w:bCs/>
                <w:szCs w:val="22"/>
              </w:rPr>
            </w:pPr>
            <w:r>
              <w:rPr>
                <w:rFonts w:hint="eastAsia" w:ascii="仿宋_GB2312" w:eastAsia="仿宋_GB2312"/>
                <w:b/>
                <w:bCs/>
                <w:szCs w:val="22"/>
              </w:rPr>
              <w:t>改造收益</w:t>
            </w:r>
          </w:p>
          <w:p w14:paraId="6754F2F1">
            <w:pPr>
              <w:adjustRightInd w:val="0"/>
              <w:snapToGrid w:val="0"/>
              <w:spacing w:line="300" w:lineRule="exact"/>
              <w:ind w:firstLine="0" w:firstLineChars="0"/>
              <w:jc w:val="center"/>
              <w:rPr>
                <w:rFonts w:hint="eastAsia" w:ascii="仿宋_GB2312" w:eastAsia="仿宋_GB2312"/>
                <w:b/>
                <w:bCs/>
                <w:szCs w:val="22"/>
              </w:rPr>
            </w:pPr>
            <w:r>
              <w:rPr>
                <w:rFonts w:hint="eastAsia" w:ascii="仿宋_GB2312" w:eastAsia="仿宋_GB2312"/>
                <w:b/>
                <w:bCs/>
                <w:szCs w:val="22"/>
              </w:rPr>
              <w:t>（万元）</w:t>
            </w:r>
          </w:p>
        </w:tc>
      </w:tr>
      <w:tr w14:paraId="02B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14:paraId="286CB9AC">
            <w:pPr>
              <w:adjustRightInd w:val="0"/>
              <w:snapToGrid w:val="0"/>
              <w:spacing w:line="300" w:lineRule="exact"/>
              <w:ind w:firstLine="0" w:firstLineChars="0"/>
              <w:jc w:val="center"/>
              <w:rPr>
                <w:rFonts w:hint="eastAsia" w:ascii="仿宋_GB2312" w:eastAsia="仿宋_GB2312"/>
                <w:szCs w:val="22"/>
              </w:rPr>
            </w:pPr>
            <w:r>
              <w:rPr>
                <w:rFonts w:hint="eastAsia" w:ascii="仿宋_GB2312" w:eastAsia="仿宋_GB2312"/>
                <w:szCs w:val="22"/>
              </w:rPr>
              <w:t>1</w:t>
            </w:r>
          </w:p>
        </w:tc>
        <w:tc>
          <w:tcPr>
            <w:tcW w:w="1906" w:type="dxa"/>
          </w:tcPr>
          <w:p w14:paraId="6E1BC5BC">
            <w:pPr>
              <w:adjustRightInd w:val="0"/>
              <w:snapToGrid w:val="0"/>
              <w:spacing w:line="300" w:lineRule="exact"/>
              <w:ind w:firstLine="0" w:firstLineChars="0"/>
              <w:jc w:val="both"/>
              <w:rPr>
                <w:rFonts w:hint="eastAsia" w:ascii="仿宋_GB2312" w:eastAsia="仿宋_GB2312"/>
                <w:szCs w:val="22"/>
              </w:rPr>
            </w:pPr>
          </w:p>
        </w:tc>
        <w:tc>
          <w:tcPr>
            <w:tcW w:w="1388" w:type="dxa"/>
          </w:tcPr>
          <w:p w14:paraId="3A7DBDBA">
            <w:pPr>
              <w:adjustRightInd w:val="0"/>
              <w:snapToGrid w:val="0"/>
              <w:spacing w:line="300" w:lineRule="exact"/>
              <w:ind w:firstLine="0" w:firstLineChars="0"/>
              <w:jc w:val="both"/>
              <w:rPr>
                <w:rFonts w:hint="eastAsia" w:ascii="仿宋_GB2312" w:eastAsia="仿宋_GB2312"/>
                <w:szCs w:val="22"/>
              </w:rPr>
            </w:pPr>
          </w:p>
        </w:tc>
        <w:tc>
          <w:tcPr>
            <w:tcW w:w="1194" w:type="dxa"/>
          </w:tcPr>
          <w:p w14:paraId="04E448F0">
            <w:pPr>
              <w:adjustRightInd w:val="0"/>
              <w:snapToGrid w:val="0"/>
              <w:spacing w:line="300" w:lineRule="exact"/>
              <w:ind w:firstLine="0" w:firstLineChars="0"/>
              <w:jc w:val="both"/>
              <w:rPr>
                <w:rFonts w:hint="eastAsia" w:ascii="仿宋_GB2312" w:eastAsia="仿宋_GB2312"/>
                <w:szCs w:val="22"/>
              </w:rPr>
            </w:pPr>
          </w:p>
        </w:tc>
        <w:tc>
          <w:tcPr>
            <w:tcW w:w="1183" w:type="dxa"/>
          </w:tcPr>
          <w:p w14:paraId="44CED3CA">
            <w:pPr>
              <w:adjustRightInd w:val="0"/>
              <w:snapToGrid w:val="0"/>
              <w:spacing w:line="300" w:lineRule="exact"/>
              <w:ind w:firstLine="0" w:firstLineChars="0"/>
              <w:jc w:val="both"/>
              <w:rPr>
                <w:rFonts w:hint="eastAsia" w:ascii="仿宋_GB2312" w:eastAsia="仿宋_GB2312"/>
                <w:szCs w:val="22"/>
              </w:rPr>
            </w:pPr>
          </w:p>
        </w:tc>
        <w:tc>
          <w:tcPr>
            <w:tcW w:w="1570" w:type="dxa"/>
          </w:tcPr>
          <w:p w14:paraId="4D9FB37D">
            <w:pPr>
              <w:adjustRightInd w:val="0"/>
              <w:snapToGrid w:val="0"/>
              <w:spacing w:line="300" w:lineRule="exact"/>
              <w:ind w:firstLine="0" w:firstLineChars="0"/>
              <w:jc w:val="both"/>
              <w:rPr>
                <w:rFonts w:hint="eastAsia" w:ascii="仿宋_GB2312" w:eastAsia="仿宋_GB2312"/>
                <w:szCs w:val="22"/>
              </w:rPr>
            </w:pPr>
          </w:p>
        </w:tc>
      </w:tr>
      <w:tr w14:paraId="26F9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14:paraId="0E62DBF7">
            <w:pPr>
              <w:adjustRightInd w:val="0"/>
              <w:snapToGrid w:val="0"/>
              <w:spacing w:line="300" w:lineRule="exact"/>
              <w:ind w:firstLine="0" w:firstLineChars="0"/>
              <w:jc w:val="center"/>
              <w:rPr>
                <w:rFonts w:hint="eastAsia" w:ascii="仿宋_GB2312" w:eastAsia="仿宋_GB2312"/>
                <w:szCs w:val="22"/>
              </w:rPr>
            </w:pPr>
            <w:r>
              <w:rPr>
                <w:rFonts w:hint="eastAsia" w:ascii="仿宋_GB2312" w:eastAsia="仿宋_GB2312"/>
                <w:szCs w:val="22"/>
              </w:rPr>
              <w:t>2</w:t>
            </w:r>
          </w:p>
        </w:tc>
        <w:tc>
          <w:tcPr>
            <w:tcW w:w="1906" w:type="dxa"/>
          </w:tcPr>
          <w:p w14:paraId="019D5007">
            <w:pPr>
              <w:adjustRightInd w:val="0"/>
              <w:snapToGrid w:val="0"/>
              <w:spacing w:line="300" w:lineRule="exact"/>
              <w:ind w:firstLine="0" w:firstLineChars="0"/>
              <w:jc w:val="both"/>
              <w:rPr>
                <w:rFonts w:hint="eastAsia" w:ascii="仿宋_GB2312" w:eastAsia="仿宋_GB2312"/>
                <w:szCs w:val="22"/>
              </w:rPr>
            </w:pPr>
          </w:p>
        </w:tc>
        <w:tc>
          <w:tcPr>
            <w:tcW w:w="1388" w:type="dxa"/>
          </w:tcPr>
          <w:p w14:paraId="0B13D6FE">
            <w:pPr>
              <w:adjustRightInd w:val="0"/>
              <w:snapToGrid w:val="0"/>
              <w:spacing w:line="300" w:lineRule="exact"/>
              <w:ind w:firstLine="0" w:firstLineChars="0"/>
              <w:jc w:val="both"/>
              <w:rPr>
                <w:rFonts w:hint="eastAsia" w:ascii="仿宋_GB2312" w:eastAsia="仿宋_GB2312"/>
                <w:szCs w:val="22"/>
              </w:rPr>
            </w:pPr>
          </w:p>
        </w:tc>
        <w:tc>
          <w:tcPr>
            <w:tcW w:w="1194" w:type="dxa"/>
          </w:tcPr>
          <w:p w14:paraId="132B7577">
            <w:pPr>
              <w:adjustRightInd w:val="0"/>
              <w:snapToGrid w:val="0"/>
              <w:spacing w:line="300" w:lineRule="exact"/>
              <w:ind w:firstLine="0" w:firstLineChars="0"/>
              <w:jc w:val="both"/>
              <w:rPr>
                <w:rFonts w:hint="eastAsia" w:ascii="仿宋_GB2312" w:eastAsia="仿宋_GB2312"/>
                <w:szCs w:val="22"/>
              </w:rPr>
            </w:pPr>
          </w:p>
        </w:tc>
        <w:tc>
          <w:tcPr>
            <w:tcW w:w="1183" w:type="dxa"/>
          </w:tcPr>
          <w:p w14:paraId="05461523">
            <w:pPr>
              <w:adjustRightInd w:val="0"/>
              <w:snapToGrid w:val="0"/>
              <w:spacing w:line="300" w:lineRule="exact"/>
              <w:ind w:firstLine="0" w:firstLineChars="0"/>
              <w:jc w:val="both"/>
              <w:rPr>
                <w:rFonts w:hint="eastAsia" w:ascii="仿宋_GB2312" w:eastAsia="仿宋_GB2312"/>
                <w:szCs w:val="22"/>
              </w:rPr>
            </w:pPr>
          </w:p>
        </w:tc>
        <w:tc>
          <w:tcPr>
            <w:tcW w:w="1570" w:type="dxa"/>
          </w:tcPr>
          <w:p w14:paraId="6CA592B3">
            <w:pPr>
              <w:adjustRightInd w:val="0"/>
              <w:snapToGrid w:val="0"/>
              <w:spacing w:line="300" w:lineRule="exact"/>
              <w:ind w:firstLine="0" w:firstLineChars="0"/>
              <w:jc w:val="both"/>
              <w:rPr>
                <w:rFonts w:hint="eastAsia" w:ascii="仿宋_GB2312" w:eastAsia="仿宋_GB2312"/>
                <w:szCs w:val="22"/>
              </w:rPr>
            </w:pPr>
          </w:p>
        </w:tc>
      </w:tr>
      <w:tr w14:paraId="3098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14:paraId="5B459B18">
            <w:pPr>
              <w:adjustRightInd w:val="0"/>
              <w:snapToGrid w:val="0"/>
              <w:spacing w:line="300" w:lineRule="exact"/>
              <w:ind w:firstLine="0" w:firstLineChars="0"/>
              <w:jc w:val="center"/>
              <w:rPr>
                <w:rFonts w:hint="eastAsia" w:ascii="仿宋_GB2312" w:eastAsia="仿宋_GB2312"/>
                <w:szCs w:val="22"/>
              </w:rPr>
            </w:pPr>
            <w:r>
              <w:rPr>
                <w:rFonts w:hint="eastAsia" w:ascii="仿宋_GB2312" w:eastAsia="仿宋_GB2312"/>
                <w:szCs w:val="22"/>
              </w:rPr>
              <w:t>3</w:t>
            </w:r>
          </w:p>
        </w:tc>
        <w:tc>
          <w:tcPr>
            <w:tcW w:w="1906" w:type="dxa"/>
          </w:tcPr>
          <w:p w14:paraId="185BCA2D">
            <w:pPr>
              <w:adjustRightInd w:val="0"/>
              <w:snapToGrid w:val="0"/>
              <w:spacing w:line="300" w:lineRule="exact"/>
              <w:ind w:firstLine="0" w:firstLineChars="0"/>
              <w:jc w:val="both"/>
              <w:rPr>
                <w:rFonts w:hint="eastAsia" w:ascii="仿宋_GB2312" w:eastAsia="仿宋_GB2312"/>
                <w:szCs w:val="22"/>
              </w:rPr>
            </w:pPr>
          </w:p>
        </w:tc>
        <w:tc>
          <w:tcPr>
            <w:tcW w:w="1388" w:type="dxa"/>
          </w:tcPr>
          <w:p w14:paraId="1467EDC0">
            <w:pPr>
              <w:adjustRightInd w:val="0"/>
              <w:snapToGrid w:val="0"/>
              <w:spacing w:line="300" w:lineRule="exact"/>
              <w:ind w:firstLine="0" w:firstLineChars="0"/>
              <w:jc w:val="both"/>
              <w:rPr>
                <w:rFonts w:hint="eastAsia" w:ascii="仿宋_GB2312" w:eastAsia="仿宋_GB2312"/>
                <w:szCs w:val="22"/>
              </w:rPr>
            </w:pPr>
          </w:p>
        </w:tc>
        <w:tc>
          <w:tcPr>
            <w:tcW w:w="1194" w:type="dxa"/>
          </w:tcPr>
          <w:p w14:paraId="7218AA93">
            <w:pPr>
              <w:adjustRightInd w:val="0"/>
              <w:snapToGrid w:val="0"/>
              <w:spacing w:line="300" w:lineRule="exact"/>
              <w:ind w:firstLine="0" w:firstLineChars="0"/>
              <w:jc w:val="both"/>
              <w:rPr>
                <w:rFonts w:hint="eastAsia" w:ascii="仿宋_GB2312" w:eastAsia="仿宋_GB2312"/>
                <w:szCs w:val="22"/>
              </w:rPr>
            </w:pPr>
          </w:p>
        </w:tc>
        <w:tc>
          <w:tcPr>
            <w:tcW w:w="1183" w:type="dxa"/>
          </w:tcPr>
          <w:p w14:paraId="3754C2B6">
            <w:pPr>
              <w:adjustRightInd w:val="0"/>
              <w:snapToGrid w:val="0"/>
              <w:spacing w:line="300" w:lineRule="exact"/>
              <w:ind w:firstLine="0" w:firstLineChars="0"/>
              <w:jc w:val="both"/>
              <w:rPr>
                <w:rFonts w:hint="eastAsia" w:ascii="仿宋_GB2312" w:eastAsia="仿宋_GB2312"/>
                <w:szCs w:val="22"/>
              </w:rPr>
            </w:pPr>
          </w:p>
        </w:tc>
        <w:tc>
          <w:tcPr>
            <w:tcW w:w="1570" w:type="dxa"/>
          </w:tcPr>
          <w:p w14:paraId="49BE9CF4">
            <w:pPr>
              <w:adjustRightInd w:val="0"/>
              <w:snapToGrid w:val="0"/>
              <w:spacing w:line="300" w:lineRule="exact"/>
              <w:ind w:firstLine="0" w:firstLineChars="0"/>
              <w:jc w:val="both"/>
              <w:rPr>
                <w:rFonts w:hint="eastAsia" w:ascii="仿宋_GB2312" w:eastAsia="仿宋_GB2312"/>
                <w:szCs w:val="22"/>
              </w:rPr>
            </w:pPr>
          </w:p>
        </w:tc>
      </w:tr>
    </w:tbl>
    <w:p w14:paraId="55F0DADD">
      <w:pPr>
        <w:adjustRightInd w:val="0"/>
        <w:snapToGrid w:val="0"/>
        <w:spacing w:line="560" w:lineRule="exact"/>
        <w:ind w:firstLine="480"/>
        <w:jc w:val="both"/>
        <w:rPr>
          <w:rFonts w:hint="eastAsia" w:ascii="仿宋_GB2312" w:eastAsia="仿宋_GB2312"/>
          <w:sz w:val="24"/>
        </w:rPr>
      </w:pPr>
      <w:r>
        <w:rPr>
          <w:rFonts w:hint="eastAsia" w:ascii="仿宋_GB2312" w:eastAsia="仿宋_GB2312"/>
          <w:sz w:val="24"/>
        </w:rPr>
        <w:t>注：1.根据应用情况自行增删表格行数；</w:t>
      </w:r>
    </w:p>
    <w:p w14:paraId="14092D80">
      <w:pPr>
        <w:adjustRightInd w:val="0"/>
        <w:snapToGrid w:val="0"/>
        <w:spacing w:line="560" w:lineRule="exact"/>
        <w:ind w:firstLine="480"/>
        <w:jc w:val="both"/>
        <w:rPr>
          <w:rFonts w:hint="eastAsia" w:ascii="仿宋_GB2312" w:eastAsia="仿宋_GB2312"/>
          <w:sz w:val="24"/>
        </w:rPr>
      </w:pPr>
      <w:r>
        <w:rPr>
          <w:rFonts w:hint="eastAsia" w:ascii="仿宋_GB2312" w:eastAsia="仿宋_GB2312"/>
          <w:sz w:val="24"/>
        </w:rPr>
        <w:t>2.改造收益为产量提升、能耗降低、损耗减少等带来的收益增加值，所列金额的测算过程必须在附件中提供的用户应用成效证明中列出。</w:t>
      </w:r>
    </w:p>
    <w:p w14:paraId="3F23397A">
      <w:pPr>
        <w:widowControl w:val="0"/>
        <w:spacing w:after="160" w:line="278" w:lineRule="auto"/>
        <w:ind w:firstLine="640"/>
        <w:rPr>
          <w:rFonts w:hint="eastAsia" w:ascii="楷体_GB2312" w:hAnsi="黑体" w:eastAsia="楷体_GB2312" w:cs="Times New Roman"/>
          <w:sz w:val="32"/>
          <w:szCs w:val="32"/>
        </w:rPr>
      </w:pPr>
      <w:r>
        <w:rPr>
          <w:rFonts w:hint="eastAsia" w:ascii="楷体_GB2312" w:hAnsi="黑体" w:eastAsia="楷体_GB2312" w:cs="Times New Roman"/>
          <w:sz w:val="32"/>
          <w:szCs w:val="32"/>
        </w:rPr>
        <w:t>（二）XXX（产品和解决方案名称）</w:t>
      </w:r>
    </w:p>
    <w:p w14:paraId="4560DD14">
      <w:pPr>
        <w:widowControl w:val="0"/>
        <w:spacing w:after="160" w:line="278" w:lineRule="auto"/>
        <w:ind w:firstLine="640"/>
        <w:rPr>
          <w:rFonts w:hint="eastAsia" w:ascii="楷体_GB2312" w:hAnsi="黑体" w:eastAsia="楷体_GB2312" w:cs="Times New Roman"/>
          <w:sz w:val="32"/>
          <w:szCs w:val="32"/>
        </w:rPr>
      </w:pPr>
      <w:r>
        <w:rPr>
          <w:rFonts w:hint="eastAsia" w:ascii="楷体_GB2312" w:hAnsi="黑体" w:eastAsia="楷体_GB2312" w:cs="Times New Roman"/>
          <w:sz w:val="32"/>
          <w:szCs w:val="32"/>
        </w:rPr>
        <w:t>（三）XXX（产品和解决方案名称）</w:t>
      </w:r>
    </w:p>
    <w:p w14:paraId="300E275A">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三、其他</w:t>
      </w:r>
    </w:p>
    <w:p w14:paraId="2A086E6E">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注：申报单位认为有必要提供的材料等，包括不限于：</w:t>
      </w:r>
    </w:p>
    <w:p w14:paraId="2081376C">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1.申报主体的营业执照及相关荣誉资质复印件；</w:t>
      </w:r>
    </w:p>
    <w:p w14:paraId="1837EC53">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2.申报主体在“信用中国”网站下载2022年1月1日至今的最新的企业信用报告；</w:t>
      </w:r>
    </w:p>
    <w:p w14:paraId="3471E792">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3.“二、所服务的试点企业情况”中全部数字化改造合同、技术方案等能够佐证“小快轻准”产品应用、用户盖章的产品应用成效及满意度证明；</w:t>
      </w:r>
    </w:p>
    <w:p w14:paraId="10CDA774">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4.证明申报主体拥有的“小快轻准”数字化转型产品知识产品的证明材料（包括不限于专利、软著等）；</w:t>
      </w:r>
    </w:p>
    <w:p w14:paraId="3C9DD7B2">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5.第三方测试认证报告及证书，或兼容适配互认证报告及证书；</w:t>
      </w:r>
    </w:p>
    <w:p w14:paraId="0E68973E">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6.其他能够证明“小快轻准”产品服务能力、服务成效的佐证材料。</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5DEF1D-FE74-46FA-BCBF-F028557587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F60D657B-8272-46CD-A2FF-2BAA58189A00}"/>
  </w:font>
  <w:font w:name="仿宋_GB2312">
    <w:panose1 w:val="02010609030101010101"/>
    <w:charset w:val="86"/>
    <w:family w:val="modern"/>
    <w:pitch w:val="default"/>
    <w:sig w:usb0="00000001" w:usb1="080E0000" w:usb2="00000000" w:usb3="00000000" w:csb0="00040000" w:csb1="00000000"/>
    <w:embedRegular r:id="rId3" w:fontKey="{BA2E3229-0F2B-48FE-AFC3-48FE6AA44808}"/>
  </w:font>
  <w:font w:name="仿宋">
    <w:panose1 w:val="02010609060101010101"/>
    <w:charset w:val="86"/>
    <w:family w:val="modern"/>
    <w:pitch w:val="default"/>
    <w:sig w:usb0="800002BF" w:usb1="38CF7CFA" w:usb2="00000016" w:usb3="00000000" w:csb0="00040001" w:csb1="00000000"/>
    <w:embedRegular r:id="rId4" w:fontKey="{530CE972-F257-4316-BA9E-5D9F97FEC921}"/>
  </w:font>
  <w:font w:name="楷体_GB2312">
    <w:altName w:val="楷体"/>
    <w:panose1 w:val="00000000000000000000"/>
    <w:charset w:val="86"/>
    <w:family w:val="auto"/>
    <w:pitch w:val="default"/>
    <w:sig w:usb0="00000000" w:usb1="00000000" w:usb2="00000000" w:usb3="00000000" w:csb0="00040000" w:csb1="00000000"/>
    <w:embedRegular r:id="rId5" w:fontKey="{FDDF4B08-A18C-4688-9FCD-1BEA5A8195D1}"/>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8DD1">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6BE6E">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0B99">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0"/>
      </w:pPr>
      <w:r>
        <w:separator/>
      </w:r>
    </w:p>
  </w:footnote>
  <w:footnote w:type="continuationSeparator" w:id="1">
    <w:p>
      <w:pPr>
        <w:spacing w:line="36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186D">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9EC41">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2287">
    <w:pPr>
      <w:pStyle w:val="1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3A"/>
    <w:rsid w:val="0002304C"/>
    <w:rsid w:val="00063082"/>
    <w:rsid w:val="00095CA8"/>
    <w:rsid w:val="00101662"/>
    <w:rsid w:val="00103DF5"/>
    <w:rsid w:val="0017466A"/>
    <w:rsid w:val="001811D9"/>
    <w:rsid w:val="002168B8"/>
    <w:rsid w:val="00236357"/>
    <w:rsid w:val="002377E3"/>
    <w:rsid w:val="00243ADC"/>
    <w:rsid w:val="00246FFC"/>
    <w:rsid w:val="00294C04"/>
    <w:rsid w:val="002A7301"/>
    <w:rsid w:val="0032005F"/>
    <w:rsid w:val="003B7B57"/>
    <w:rsid w:val="00413F3A"/>
    <w:rsid w:val="00454266"/>
    <w:rsid w:val="00470064"/>
    <w:rsid w:val="00490DCB"/>
    <w:rsid w:val="004C076F"/>
    <w:rsid w:val="00536CE3"/>
    <w:rsid w:val="00556AD2"/>
    <w:rsid w:val="00564A1F"/>
    <w:rsid w:val="00574116"/>
    <w:rsid w:val="005803B2"/>
    <w:rsid w:val="005A0330"/>
    <w:rsid w:val="005C3968"/>
    <w:rsid w:val="005C4F4E"/>
    <w:rsid w:val="005D0094"/>
    <w:rsid w:val="005D723E"/>
    <w:rsid w:val="005F115C"/>
    <w:rsid w:val="005F5287"/>
    <w:rsid w:val="006122DF"/>
    <w:rsid w:val="006162C8"/>
    <w:rsid w:val="00630822"/>
    <w:rsid w:val="00631151"/>
    <w:rsid w:val="006335D4"/>
    <w:rsid w:val="00634FDA"/>
    <w:rsid w:val="006357AD"/>
    <w:rsid w:val="006713F2"/>
    <w:rsid w:val="007066E3"/>
    <w:rsid w:val="0071233A"/>
    <w:rsid w:val="00712393"/>
    <w:rsid w:val="007223B8"/>
    <w:rsid w:val="007731C3"/>
    <w:rsid w:val="007D3A76"/>
    <w:rsid w:val="007D3EC7"/>
    <w:rsid w:val="007E02B8"/>
    <w:rsid w:val="007E1E07"/>
    <w:rsid w:val="00835DE9"/>
    <w:rsid w:val="008369F5"/>
    <w:rsid w:val="00876649"/>
    <w:rsid w:val="00892502"/>
    <w:rsid w:val="008A4284"/>
    <w:rsid w:val="008E3566"/>
    <w:rsid w:val="0090249C"/>
    <w:rsid w:val="00910221"/>
    <w:rsid w:val="00940253"/>
    <w:rsid w:val="00954479"/>
    <w:rsid w:val="009739FF"/>
    <w:rsid w:val="00985A21"/>
    <w:rsid w:val="00992D55"/>
    <w:rsid w:val="009C6AF3"/>
    <w:rsid w:val="009C7B38"/>
    <w:rsid w:val="00A03CA3"/>
    <w:rsid w:val="00AA58FE"/>
    <w:rsid w:val="00AA6C17"/>
    <w:rsid w:val="00AD0E78"/>
    <w:rsid w:val="00B022F2"/>
    <w:rsid w:val="00B479BF"/>
    <w:rsid w:val="00B61026"/>
    <w:rsid w:val="00B77E7A"/>
    <w:rsid w:val="00B81626"/>
    <w:rsid w:val="00BE17D6"/>
    <w:rsid w:val="00C30AD5"/>
    <w:rsid w:val="00C37044"/>
    <w:rsid w:val="00C5132A"/>
    <w:rsid w:val="00C61930"/>
    <w:rsid w:val="00C927A1"/>
    <w:rsid w:val="00CB6DB8"/>
    <w:rsid w:val="00CE434B"/>
    <w:rsid w:val="00CE7BF0"/>
    <w:rsid w:val="00D10EB8"/>
    <w:rsid w:val="00D31904"/>
    <w:rsid w:val="00D969FF"/>
    <w:rsid w:val="00DA2DAD"/>
    <w:rsid w:val="00DA4C36"/>
    <w:rsid w:val="00DC3C7F"/>
    <w:rsid w:val="00E27C0A"/>
    <w:rsid w:val="00E70953"/>
    <w:rsid w:val="00EB1DB8"/>
    <w:rsid w:val="00EE7A21"/>
    <w:rsid w:val="00F00FDD"/>
    <w:rsid w:val="00F02B70"/>
    <w:rsid w:val="00F04AE9"/>
    <w:rsid w:val="00F243B0"/>
    <w:rsid w:val="00F42B44"/>
    <w:rsid w:val="00F50B07"/>
    <w:rsid w:val="00F524C1"/>
    <w:rsid w:val="00F5784B"/>
    <w:rsid w:val="00F76EBC"/>
    <w:rsid w:val="00F94C69"/>
    <w:rsid w:val="00F96017"/>
    <w:rsid w:val="00FA2E97"/>
    <w:rsid w:val="00FC5414"/>
    <w:rsid w:val="00FC6B41"/>
    <w:rsid w:val="00FD20A5"/>
    <w:rsid w:val="00FD545D"/>
    <w:rsid w:val="117864BA"/>
    <w:rsid w:val="13123B9F"/>
    <w:rsid w:val="17DB243A"/>
    <w:rsid w:val="1E012DED"/>
    <w:rsid w:val="23AE70AC"/>
    <w:rsid w:val="27C47C99"/>
    <w:rsid w:val="2C4E263B"/>
    <w:rsid w:val="36EE2800"/>
    <w:rsid w:val="36F05F70"/>
    <w:rsid w:val="39320436"/>
    <w:rsid w:val="3BA352F6"/>
    <w:rsid w:val="48211231"/>
    <w:rsid w:val="59694C02"/>
    <w:rsid w:val="5FF270C8"/>
    <w:rsid w:val="63FA07AA"/>
    <w:rsid w:val="762A268B"/>
    <w:rsid w:val="78116225"/>
    <w:rsid w:val="7D306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table" w:customStyle="1" w:styleId="38">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页眉 字符"/>
    <w:basedOn w:val="18"/>
    <w:link w:val="13"/>
    <w:qFormat/>
    <w:uiPriority w:val="99"/>
    <w:rPr>
      <w:sz w:val="18"/>
      <w:szCs w:val="18"/>
    </w:rPr>
  </w:style>
  <w:style w:type="character" w:customStyle="1" w:styleId="40">
    <w:name w:val="页脚 字符"/>
    <w:basedOn w:val="18"/>
    <w:link w:val="12"/>
    <w:qFormat/>
    <w:uiPriority w:val="99"/>
    <w:rPr>
      <w:sz w:val="18"/>
      <w:szCs w:val="18"/>
    </w:rPr>
  </w:style>
  <w:style w:type="paragraph" w:customStyle="1" w:styleId="41">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2">
    <w:name w:val="批注文字 字符"/>
    <w:basedOn w:val="18"/>
    <w:link w:val="11"/>
    <w:semiHidden/>
    <w:qFormat/>
    <w:uiPriority w:val="99"/>
    <w:rPr>
      <w:rFonts w:asciiTheme="minorHAnsi" w:hAnsiTheme="minorHAnsi" w:eastAsiaTheme="minorEastAsia" w:cstheme="minorBidi"/>
      <w:kern w:val="2"/>
      <w:sz w:val="2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1511</Words>
  <Characters>1552</Characters>
  <Lines>107</Lines>
  <Paragraphs>112</Paragraphs>
  <TotalTime>26</TotalTime>
  <ScaleCrop>false</ScaleCrop>
  <LinksUpToDate>false</LinksUpToDate>
  <CharactersWithSpaces>1779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2025-09-09T01:04:00Z</dcterms:created>
  <dc:creator>Bo Hu</dc:creator>
  <cp:lastModifiedBy>小麦啾</cp:lastModifiedBy>
  <dcterms:modified xsi:type="dcterms:W3CDTF">2025-09-18T11:20:29Z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eyJoZGlkIjoiMzcxN2Q5OGY0MzIxMzQ2YTVkNjkyNjY4OTc0MzQwMDIiLCJ1c2VySWQiOiIzMjQ5NjUzODcifQ==</vt:lpwstr>
  </property>
  <property fmtid="{D5CDD505-2E9C-101B-9397-08002B2CF9AE}" pid="3" name="KSOProductBuildVer">
    <vt:lpwstr>2052-12.1.0.22529</vt:lpwstr>
  </property>
  <property fmtid="{D5CDD505-2E9C-101B-9397-08002B2CF9AE}" pid="4" name="ICV">
    <vt:lpwstr>600B49FA58F24CEAA32FC0E4A4B73E85_13</vt:lpwstr>
  </property>
</Properties>
</file>